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A29CC">
      <w:pPr>
        <w:rPr>
          <w:lang w:val="zh-CN"/>
        </w:rPr>
      </w:pPr>
      <w:bookmarkStart w:id="0" w:name="_GoBack"/>
      <w:bookmarkEnd w:id="0"/>
      <w:r>
        <w:rPr>
          <w:lang w:val="zh-CN"/>
        </w:rPr>
        <w:t>TAX RATES --- FOR THE TAX YEAR - 2020</w:t>
      </w:r>
    </w:p>
    <w:p w14:paraId="6B627AFB">
      <w:pPr>
        <w:rPr>
          <w:lang w:val="zh-CN"/>
        </w:rPr>
      </w:pPr>
      <w:r>
        <w:rPr>
          <w:b/>
          <w:bCs/>
          <w:u w:val="single"/>
          <w:lang w:val="zh-CN"/>
        </w:rPr>
        <w:t>TAX RATES</w:t>
      </w:r>
      <w:r>
        <w:rPr>
          <w:b/>
          <w:bCs/>
          <w:u w:val="single"/>
          <w:lang w:val="zh-CN"/>
        </w:rPr>
        <w:br w:type="textWrapping"/>
      </w:r>
      <w:r>
        <w:rPr>
          <w:b/>
          <w:bCs/>
          <w:u w:val="single"/>
          <w:lang w:val="zh-CN"/>
        </w:rPr>
        <w:t>Amended upto 31-08-2019</w:t>
      </w:r>
    </w:p>
    <w:p w14:paraId="3C14EEF0">
      <w:pPr>
        <w:rPr>
          <w:lang w:val="zh-CN"/>
        </w:rPr>
      </w:pPr>
      <w:r>
        <w:rPr>
          <w:b/>
          <w:bCs/>
          <w:lang w:val="zh-CN"/>
        </w:rPr>
        <w:t>FOR THE TAX YEAR - 2020</w:t>
      </w:r>
    </w:p>
    <w:p w14:paraId="0A1F3B7E">
      <w:pPr>
        <w:rPr>
          <w:lang w:val="zh-CN"/>
        </w:rPr>
      </w:pPr>
      <w:r>
        <w:rPr>
          <w:b/>
          <w:bCs/>
          <w:lang w:val="zh-CN"/>
        </w:rPr>
        <w:t>Section 2(22)â€œemploymentâ€</w:t>
      </w:r>
      <w:r>
        <w:rPr>
          <w:rFonts w:ascii="Calibri" w:hAnsi="Calibri" w:cs="Calibri"/>
          <w:b/>
          <w:bCs/>
          <w:lang w:val="zh-CN"/>
        </w:rPr>
        <w:t></w:t>
      </w:r>
      <w:r>
        <w:rPr>
          <w:b/>
          <w:bCs/>
          <w:lang w:val="zh-CN"/>
        </w:rPr>
        <w:t xml:space="preserve"> includes -</w:t>
      </w:r>
      <w:r>
        <w:rPr>
          <w:lang w:val="zh-CN"/>
        </w:rPr>
        <w:br w:type="textWrapping"/>
      </w:r>
      <w:r>
        <w:rPr>
          <w:lang w:val="zh-CN"/>
        </w:rPr>
        <w:t>(a) a directorship or any other office involved in the management of a company;</w:t>
      </w:r>
      <w:r>
        <w:rPr>
          <w:lang w:val="zh-CN"/>
        </w:rPr>
        <w:br w:type="textWrapping"/>
      </w:r>
      <w:r>
        <w:rPr>
          <w:lang w:val="zh-CN"/>
        </w:rPr>
        <w:t>(b) a position entitling the holder to a fixed or ascertainable remuneration; or</w:t>
      </w:r>
      <w:r>
        <w:rPr>
          <w:lang w:val="zh-CN"/>
        </w:rPr>
        <w:br w:type="textWrapping"/>
      </w:r>
      <w:r>
        <w:rPr>
          <w:lang w:val="zh-CN"/>
        </w:rPr>
        <w:t>(c) the holding or acting in any public office;</w:t>
      </w:r>
      <w:r>
        <w:rPr>
          <w:lang w:val="zh-CN"/>
        </w:rPr>
        <w:br w:type="textWrapping"/>
      </w:r>
      <w:r>
        <w:rPr>
          <w:lang w:val="zh-CN"/>
        </w:rPr>
        <w:t>(3A) â€œApproved Annuity Planâ€</w:t>
      </w:r>
      <w:r>
        <w:rPr>
          <w:rFonts w:ascii="Calibri" w:hAnsi="Calibri" w:cs="Calibri"/>
          <w:lang w:val="zh-CN"/>
        </w:rPr>
        <w:t></w:t>
      </w:r>
      <w:r>
        <w:rPr>
          <w:lang w:val="zh-CN"/>
        </w:rPr>
        <w:t xml:space="preserve"> means an Annuity Plan approved by Securities and Exchange Commission of Pakistan (SECP) under Voluntary Pension System Rules, 2005 and offered by a Life Insurance Company registered with the SECP under Insurance Ordinance, 2000 (XXXIX of 2000);</w:t>
      </w:r>
      <w:r>
        <w:rPr>
          <w:lang w:val="zh-CN"/>
        </w:rPr>
        <w:br w:type="textWrapping"/>
      </w:r>
      <w:r>
        <w:rPr>
          <w:lang w:val="zh-CN"/>
        </w:rPr>
        <w:t xml:space="preserve">(3B) </w:t>
      </w:r>
      <w:r>
        <w:rPr>
          <w:rFonts w:ascii="Calibri" w:hAnsi="Calibri" w:cs="Calibri"/>
          <w:lang w:val="zh-CN"/>
        </w:rPr>
        <w:t>â€œ</w:t>
      </w:r>
      <w:r>
        <w:rPr>
          <w:lang w:val="zh-CN"/>
        </w:rPr>
        <w:t>Approved Income Payment Planâ€</w:t>
      </w:r>
      <w:r>
        <w:rPr>
          <w:rFonts w:ascii="Calibri" w:hAnsi="Calibri" w:cs="Calibri"/>
          <w:lang w:val="zh-CN"/>
        </w:rPr>
        <w:t></w:t>
      </w:r>
      <w:r>
        <w:rPr>
          <w:lang w:val="zh-CN"/>
        </w:rPr>
        <w:t xml:space="preserve"> means an Income Payment Plan approved by Securities and Exchange Commission of Pakistan (SECP) under Voluntary Pension System Rules, 2005 and offered by a</w:t>
      </w:r>
      <w:r>
        <w:rPr>
          <w:lang w:val="zh-CN"/>
        </w:rPr>
        <w:br w:type="textWrapping"/>
      </w:r>
      <w:r>
        <w:rPr>
          <w:lang w:val="zh-CN"/>
        </w:rPr>
        <w:t>Pension Fund Manager registered with the SECP under Voluntary Pension System Rules, 2005;</w:t>
      </w:r>
      <w:r>
        <w:rPr>
          <w:lang w:val="zh-CN"/>
        </w:rPr>
        <w:br w:type="textWrapping"/>
      </w:r>
      <w:r>
        <w:rPr>
          <w:lang w:val="zh-CN"/>
        </w:rPr>
        <w:t xml:space="preserve">(3C) </w:t>
      </w:r>
      <w:r>
        <w:rPr>
          <w:rFonts w:ascii="Calibri" w:hAnsi="Calibri" w:cs="Calibri"/>
          <w:lang w:val="zh-CN"/>
        </w:rPr>
        <w:t>â€œ</w:t>
      </w:r>
      <w:r>
        <w:rPr>
          <w:lang w:val="zh-CN"/>
        </w:rPr>
        <w:t>Approved Pension Fund</w:t>
      </w:r>
      <w:r>
        <w:rPr>
          <w:rFonts w:ascii="Calibri" w:hAnsi="Calibri" w:cs="Calibri"/>
          <w:lang w:val="zh-CN"/>
        </w:rPr>
        <w:t>â€</w:t>
      </w:r>
      <w:r>
        <w:rPr>
          <w:lang w:val="zh-CN"/>
        </w:rPr>
        <w:t xml:space="preserve"> means Pension Fund approved by Securities and Exchange Commission of Pakistan (SECP) under Voluntary Pension System Rules, 2005, and managed by a Pension Fund</w:t>
      </w:r>
      <w:r>
        <w:rPr>
          <w:lang w:val="zh-CN"/>
        </w:rPr>
        <w:br w:type="textWrapping"/>
      </w:r>
      <w:r>
        <w:rPr>
          <w:lang w:val="zh-CN"/>
        </w:rPr>
        <w:t>Manager registered with the SECP under Voluntary Pension System Rules, 2005;</w:t>
      </w:r>
      <w:r>
        <w:rPr>
          <w:lang w:val="zh-CN"/>
        </w:rPr>
        <w:br w:type="textWrapping"/>
      </w:r>
      <w:r>
        <w:rPr>
          <w:lang w:val="zh-CN"/>
        </w:rPr>
        <w:t>(3D) â€œApproved Employment Pension or Annuity Schemeâ€</w:t>
      </w:r>
      <w:r>
        <w:rPr>
          <w:rFonts w:ascii="Calibri" w:hAnsi="Calibri" w:cs="Calibri"/>
          <w:lang w:val="zh-CN"/>
        </w:rPr>
        <w:t></w:t>
      </w:r>
      <w:r>
        <w:rPr>
          <w:lang w:val="zh-CN"/>
        </w:rPr>
        <w:t xml:space="preserve"> means any employment related retirement scheme approved under this Ordinance, which makes periodical payment to a beneficiary i.e. pension or annuity such as approved superannuation fund, public sector pension scheme and Employees Old-Age Benefit Scheme;</w:t>
      </w:r>
      <w:r>
        <w:rPr>
          <w:lang w:val="zh-CN"/>
        </w:rPr>
        <w:br w:type="textWrapping"/>
      </w:r>
      <w:r>
        <w:rPr>
          <w:lang w:val="zh-CN"/>
        </w:rPr>
        <w:t xml:space="preserve">(3E) </w:t>
      </w:r>
      <w:r>
        <w:rPr>
          <w:rFonts w:ascii="Calibri" w:hAnsi="Calibri" w:cs="Calibri"/>
          <w:lang w:val="zh-CN"/>
        </w:rPr>
        <w:t>â€œ</w:t>
      </w:r>
      <w:r>
        <w:rPr>
          <w:lang w:val="zh-CN"/>
        </w:rPr>
        <w:t>Approved Occupational Savings Scheme</w:t>
      </w:r>
      <w:r>
        <w:rPr>
          <w:rFonts w:ascii="Calibri" w:hAnsi="Calibri" w:cs="Calibri"/>
          <w:lang w:val="zh-CN"/>
        </w:rPr>
        <w:t>â€</w:t>
      </w:r>
      <w:r>
        <w:rPr>
          <w:lang w:val="zh-CN"/>
        </w:rPr>
        <w:t xml:space="preserve"> means any approved gratuity fund or recognized provident fund;</w:t>
      </w:r>
      <w:r>
        <w:rPr>
          <w:lang w:val="zh-CN"/>
        </w:rPr>
        <w:br w:type="textWrapping"/>
      </w:r>
      <w:r>
        <w:rPr>
          <w:lang w:val="zh-CN"/>
        </w:rPr>
        <w:t xml:space="preserve">(4). </w:t>
      </w:r>
      <w:r>
        <w:rPr>
          <w:rFonts w:ascii="Calibri" w:hAnsi="Calibri" w:cs="Calibri"/>
          <w:lang w:val="zh-CN"/>
        </w:rPr>
        <w:t>â€œ</w:t>
      </w:r>
      <w:r>
        <w:rPr>
          <w:lang w:val="zh-CN"/>
        </w:rPr>
        <w:t>approved superannuation fund</w:t>
      </w:r>
      <w:r>
        <w:rPr>
          <w:rFonts w:ascii="Calibri" w:hAnsi="Calibri" w:cs="Calibri"/>
          <w:lang w:val="zh-CN"/>
        </w:rPr>
        <w:t>â€</w:t>
      </w:r>
      <w:r>
        <w:rPr>
          <w:lang w:val="zh-CN"/>
        </w:rPr>
        <w:t xml:space="preserve"> means a superannuation fund, or any part of a superannuation fund, approved by the Commissioner in accordance with Part II of the Sixth Schedule;</w:t>
      </w:r>
      <w:r>
        <w:rPr>
          <w:lang w:val="zh-CN"/>
        </w:rPr>
        <w:br w:type="textWrapping"/>
      </w:r>
      <w:r>
        <w:rPr>
          <w:lang w:val="zh-CN"/>
        </w:rPr>
        <w:t>(13B) â€œContribution to an Approved Pension Fundâ€</w:t>
      </w:r>
      <w:r>
        <w:rPr>
          <w:rFonts w:ascii="Calibri" w:hAnsi="Calibri" w:cs="Calibri"/>
          <w:lang w:val="zh-CN"/>
        </w:rPr>
        <w:t></w:t>
      </w:r>
      <w:r>
        <w:rPr>
          <w:lang w:val="zh-CN"/>
        </w:rPr>
        <w:t xml:space="preserve"> means contribution as defined in rule 2(j) of the Voluntary Pension System Rules, 2005;</w:t>
      </w:r>
      <w:r>
        <w:rPr>
          <w:lang w:val="zh-CN"/>
        </w:rPr>
        <w:br w:type="textWrapping"/>
      </w:r>
      <w:r>
        <w:rPr>
          <w:lang w:val="zh-CN"/>
        </w:rPr>
        <w:t xml:space="preserve">(29B) </w:t>
      </w:r>
      <w:r>
        <w:rPr>
          <w:rFonts w:ascii="Calibri" w:hAnsi="Calibri" w:cs="Calibri"/>
          <w:lang w:val="zh-CN"/>
        </w:rPr>
        <w:t>â€œ</w:t>
      </w:r>
      <w:r>
        <w:rPr>
          <w:lang w:val="zh-CN"/>
        </w:rPr>
        <w:t>Individual Pension Account</w:t>
      </w:r>
      <w:r>
        <w:rPr>
          <w:rFonts w:ascii="Calibri" w:hAnsi="Calibri" w:cs="Calibri"/>
          <w:lang w:val="zh-CN"/>
        </w:rPr>
        <w:t>â€</w:t>
      </w:r>
      <w:r>
        <w:rPr>
          <w:lang w:val="zh-CN"/>
        </w:rPr>
        <w:t xml:space="preserve"> means an account maintained by an eligible person with a Pension Fund Manager approved under the Voluntary Pension System Rules, 2005;</w:t>
      </w:r>
      <w:r>
        <w:rPr>
          <w:lang w:val="zh-CN"/>
        </w:rPr>
        <w:br w:type="textWrapping"/>
      </w:r>
      <w:r>
        <w:rPr>
          <w:lang w:val="zh-CN"/>
        </w:rPr>
        <w:t xml:space="preserve">(40A) </w:t>
      </w:r>
      <w:r>
        <w:rPr>
          <w:rFonts w:ascii="Calibri" w:hAnsi="Calibri" w:cs="Calibri"/>
          <w:lang w:val="zh-CN"/>
        </w:rPr>
        <w:t>â€œ</w:t>
      </w:r>
      <w:r>
        <w:rPr>
          <w:lang w:val="zh-CN"/>
        </w:rPr>
        <w:t>Pension Fund Manager</w:t>
      </w:r>
      <w:r>
        <w:rPr>
          <w:rFonts w:ascii="Calibri" w:hAnsi="Calibri" w:cs="Calibri"/>
          <w:lang w:val="zh-CN"/>
        </w:rPr>
        <w:t>â€</w:t>
      </w:r>
      <w:r>
        <w:rPr>
          <w:lang w:val="zh-CN"/>
        </w:rPr>
        <w:t xml:space="preserve"> means an asset management company registered under the Non-Banking Finance Companies (Establishment and Regulations) Rules, 2003, or a life insurance company registered under Insurance Ordinance, 2000 (XXXIX of 2000), duly authorized by the Securities and Exchange Commission of Pakistan and approved under the Voluntary Pension System Rules, 2005, to manage the Approved Pension Fund;</w:t>
      </w:r>
      <w:r>
        <w:rPr>
          <w:lang w:val="zh-CN"/>
        </w:rPr>
        <w:br w:type="textWrapping"/>
      </w:r>
      <w:r>
        <w:rPr>
          <w:lang w:val="zh-CN"/>
        </w:rPr>
        <w:t>(48). â€œrecognised provident fundâ€</w:t>
      </w:r>
      <w:r>
        <w:rPr>
          <w:rFonts w:ascii="Calibri" w:hAnsi="Calibri" w:cs="Calibri"/>
          <w:lang w:val="zh-CN"/>
        </w:rPr>
        <w:t></w:t>
      </w:r>
      <w:r>
        <w:rPr>
          <w:lang w:val="zh-CN"/>
        </w:rPr>
        <w:t xml:space="preserve"> means a provident fund recognised by the Commissioner in accordance with Part I of the Sixth Schedule;</w:t>
      </w:r>
      <w:r>
        <w:rPr>
          <w:lang w:val="zh-CN"/>
        </w:rPr>
        <w:br w:type="textWrapping"/>
      </w:r>
      <w:r>
        <w:rPr>
          <w:lang w:val="zh-CN"/>
        </w:rPr>
        <w:t>12. Salary.</w:t>
      </w:r>
      <w:r>
        <w:rPr>
          <w:rFonts w:ascii="Calibri" w:hAnsi="Calibri" w:cs="Calibri"/>
          <w:lang w:val="zh-CN"/>
        </w:rPr>
        <w:t>â€”</w:t>
      </w:r>
      <w:r>
        <w:rPr>
          <w:lang w:val="zh-CN"/>
        </w:rPr>
        <w:t xml:space="preserve"> (1) Any salary received by an employee in a tax year, other than salary that is exempt from tax under this Ordinance, shall be chargeable to tax in that year under the head â€œSalaryâ€</w:t>
      </w:r>
      <w:r>
        <w:rPr>
          <w:rFonts w:ascii="Calibri" w:hAnsi="Calibri" w:cs="Calibri"/>
          <w:lang w:val="zh-CN"/>
        </w:rPr>
        <w:t></w:t>
      </w:r>
      <w:r>
        <w:rPr>
          <w:lang w:val="zh-CN"/>
        </w:rPr>
        <w:t>.</w:t>
      </w:r>
      <w:r>
        <w:rPr>
          <w:lang w:val="zh-CN"/>
        </w:rPr>
        <w:br w:type="textWrapping"/>
      </w:r>
      <w:r>
        <w:rPr>
          <w:lang w:val="zh-CN"/>
        </w:rPr>
        <w:br w:type="textWrapping"/>
      </w:r>
      <w:r>
        <w:rPr>
          <w:b/>
          <w:bCs/>
          <w:lang w:val="zh-CN"/>
        </w:rPr>
        <w:t>Rates for withholding tax, From 01-07-2020 to 30-06-2021 From 01-07-2020 to 30-06-2021</w:t>
      </w:r>
    </w:p>
    <w:tbl>
      <w:tblPr>
        <w:tblStyle w:val="12"/>
        <w:tblW w:w="975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2" w:type="dxa"/>
          <w:left w:w="12" w:type="dxa"/>
          <w:bottom w:w="12" w:type="dxa"/>
          <w:right w:w="12" w:type="dxa"/>
        </w:tblCellMar>
      </w:tblPr>
      <w:tblGrid>
        <w:gridCol w:w="532"/>
        <w:gridCol w:w="3064"/>
        <w:gridCol w:w="6154"/>
      </w:tblGrid>
      <w:tr w14:paraId="5B23D79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2"/>
            <w:tcBorders>
              <w:top w:val="single" w:color="auto" w:sz="2" w:space="0"/>
              <w:left w:val="single" w:color="auto" w:sz="2" w:space="0"/>
              <w:bottom w:val="single" w:color="auto" w:sz="2" w:space="0"/>
              <w:right w:val="single" w:color="auto" w:sz="2" w:space="0"/>
            </w:tcBorders>
            <w:vAlign w:val="center"/>
          </w:tcPr>
          <w:p w14:paraId="6B39FD21">
            <w:pPr>
              <w:rPr>
                <w:lang w:val="zh-CN"/>
              </w:rPr>
            </w:pPr>
            <w:r>
              <w:rPr>
                <w:b/>
                <w:bCs/>
                <w:lang w:val="zh-CN"/>
              </w:rPr>
              <w:t>Individual - Salaried</w:t>
            </w:r>
          </w:p>
        </w:tc>
        <w:tc>
          <w:tcPr>
            <w:tcW w:w="300" w:type="dxa"/>
            <w:tcBorders>
              <w:top w:val="single" w:color="auto" w:sz="2" w:space="0"/>
              <w:left w:val="single" w:color="auto" w:sz="2" w:space="0"/>
              <w:bottom w:val="single" w:color="auto" w:sz="2" w:space="0"/>
              <w:right w:val="single" w:color="auto" w:sz="2" w:space="0"/>
            </w:tcBorders>
            <w:vAlign w:val="center"/>
          </w:tcPr>
          <w:p w14:paraId="2AB0C936">
            <w:pPr>
              <w:rPr>
                <w:lang w:val="zh-CN"/>
              </w:rPr>
            </w:pPr>
            <w:r>
              <w:rPr>
                <w:lang w:val="zh-CN"/>
              </w:rPr>
              <w:t>Sec. 12 149, Division I, Part I, First Schedule</w:t>
            </w:r>
          </w:p>
        </w:tc>
      </w:tr>
      <w:tr w14:paraId="22FE04C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3"/>
            <w:tcBorders>
              <w:top w:val="single" w:color="auto" w:sz="2" w:space="0"/>
              <w:left w:val="single" w:color="auto" w:sz="2" w:space="0"/>
              <w:bottom w:val="single" w:color="auto" w:sz="2" w:space="0"/>
              <w:right w:val="single" w:color="auto" w:sz="2" w:space="0"/>
            </w:tcBorders>
            <w:vAlign w:val="center"/>
          </w:tcPr>
          <w:p w14:paraId="09126D76">
            <w:pPr>
              <w:rPr>
                <w:lang w:val="zh-CN"/>
              </w:rPr>
            </w:pPr>
            <w:r>
              <w:rPr>
                <w:lang w:val="zh-CN"/>
              </w:rPr>
              <w:t>* Employer can make adjusments for any previous deduction on other heads i.e. telephone, vehicle, bank, etc.</w:t>
            </w:r>
          </w:p>
        </w:tc>
      </w:tr>
      <w:tr w14:paraId="571EFB3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3"/>
            <w:tcBorders>
              <w:top w:val="single" w:color="auto" w:sz="2" w:space="0"/>
              <w:left w:val="single" w:color="auto" w:sz="2" w:space="0"/>
              <w:bottom w:val="single" w:color="auto" w:sz="2" w:space="0"/>
              <w:right w:val="single" w:color="auto" w:sz="2" w:space="0"/>
            </w:tcBorders>
            <w:vAlign w:val="center"/>
          </w:tcPr>
          <w:p w14:paraId="060A6059">
            <w:pPr>
              <w:rPr>
                <w:lang w:val="zh-CN"/>
              </w:rPr>
            </w:pPr>
            <w:r>
              <w:rPr>
                <w:lang w:val="zh-CN"/>
              </w:rPr>
              <w:t>* Every person paying salary shall deduct tax as follows:</w:t>
            </w:r>
          </w:p>
        </w:tc>
      </w:tr>
      <w:tr w14:paraId="7BF8EA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3"/>
            <w:tcBorders>
              <w:top w:val="single" w:color="auto" w:sz="2" w:space="0"/>
              <w:left w:val="single" w:color="auto" w:sz="2" w:space="0"/>
              <w:bottom w:val="single" w:color="auto" w:sz="2" w:space="0"/>
              <w:right w:val="single" w:color="auto" w:sz="2" w:space="0"/>
            </w:tcBorders>
            <w:vAlign w:val="center"/>
          </w:tcPr>
          <w:p w14:paraId="5A975DDE">
            <w:pPr>
              <w:rPr>
                <w:lang w:val="zh-CN"/>
              </w:rPr>
            </w:pPr>
            <w:r>
              <w:rPr>
                <w:lang w:val="zh-CN"/>
              </w:rPr>
              <w:t>* Upon submission of annual Income Tax Return if the salary Income exceeds 75% of taxable income then following rates shll be applied.</w:t>
            </w:r>
          </w:p>
        </w:tc>
      </w:tr>
      <w:tr w14:paraId="4F0D0FE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2"/>
            <w:tcBorders>
              <w:top w:val="single" w:color="auto" w:sz="2" w:space="0"/>
              <w:left w:val="single" w:color="auto" w:sz="2" w:space="0"/>
              <w:bottom w:val="single" w:color="auto" w:sz="2" w:space="0"/>
              <w:right w:val="single" w:color="auto" w:sz="2" w:space="0"/>
            </w:tcBorders>
            <w:vAlign w:val="center"/>
          </w:tcPr>
          <w:p w14:paraId="173733B0">
            <w:pPr>
              <w:rPr>
                <w:lang w:val="zh-CN"/>
              </w:rPr>
            </w:pPr>
            <w:r>
              <w:rPr>
                <w:b/>
                <w:bCs/>
                <w:lang w:val="zh-CN"/>
              </w:rPr>
              <w:t>Taxable Income (Rs)</w:t>
            </w:r>
          </w:p>
        </w:tc>
        <w:tc>
          <w:tcPr>
            <w:tcW w:w="3465" w:type="dxa"/>
            <w:tcBorders>
              <w:top w:val="single" w:color="auto" w:sz="2" w:space="0"/>
              <w:left w:val="single" w:color="auto" w:sz="2" w:space="0"/>
              <w:bottom w:val="single" w:color="auto" w:sz="2" w:space="0"/>
              <w:right w:val="single" w:color="auto" w:sz="2" w:space="0"/>
            </w:tcBorders>
            <w:vAlign w:val="center"/>
          </w:tcPr>
          <w:p w14:paraId="3BC6A74D">
            <w:pPr>
              <w:rPr>
                <w:lang w:val="zh-CN"/>
              </w:rPr>
            </w:pPr>
            <w:r>
              <w:rPr>
                <w:b/>
                <w:bCs/>
                <w:lang w:val="zh-CN"/>
              </w:rPr>
              <w:t>Tax of withholding tax</w:t>
            </w:r>
          </w:p>
        </w:tc>
      </w:tr>
      <w:tr w14:paraId="105FB50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4329314B">
            <w:pPr>
              <w:rPr>
                <w:lang w:val="zh-CN"/>
              </w:rPr>
            </w:pPr>
            <w:r>
              <w:rPr>
                <w:lang w:val="zh-CN"/>
              </w:rPr>
              <w:t>1</w:t>
            </w:r>
          </w:p>
        </w:tc>
        <w:tc>
          <w:tcPr>
            <w:tcW w:w="1725" w:type="dxa"/>
            <w:tcBorders>
              <w:top w:val="single" w:color="auto" w:sz="2" w:space="0"/>
              <w:left w:val="single" w:color="auto" w:sz="2" w:space="0"/>
              <w:bottom w:val="single" w:color="auto" w:sz="2" w:space="0"/>
              <w:right w:val="single" w:color="auto" w:sz="2" w:space="0"/>
            </w:tcBorders>
            <w:vAlign w:val="center"/>
          </w:tcPr>
          <w:p w14:paraId="1E54F28C">
            <w:pPr>
              <w:rPr>
                <w:lang w:val="zh-CN"/>
              </w:rPr>
            </w:pPr>
            <w:r>
              <w:rPr>
                <w:lang w:val="zh-CN"/>
              </w:rPr>
              <w:t>Upto Rs. 600,000</w:t>
            </w:r>
          </w:p>
        </w:tc>
        <w:tc>
          <w:tcPr>
            <w:tcW w:w="3465" w:type="dxa"/>
            <w:tcBorders>
              <w:top w:val="single" w:color="auto" w:sz="2" w:space="0"/>
              <w:left w:val="single" w:color="auto" w:sz="2" w:space="0"/>
              <w:bottom w:val="single" w:color="auto" w:sz="2" w:space="0"/>
              <w:right w:val="single" w:color="auto" w:sz="2" w:space="0"/>
            </w:tcBorders>
            <w:vAlign w:val="center"/>
          </w:tcPr>
          <w:p w14:paraId="3BE9B8B4">
            <w:pPr>
              <w:rPr>
                <w:lang w:val="zh-CN"/>
              </w:rPr>
            </w:pPr>
            <w:r>
              <w:rPr>
                <w:lang w:val="zh-CN"/>
              </w:rPr>
              <w:t>0%</w:t>
            </w:r>
          </w:p>
        </w:tc>
      </w:tr>
      <w:tr w14:paraId="6D820C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42B1572A">
            <w:pPr>
              <w:rPr>
                <w:lang w:val="zh-CN"/>
              </w:rPr>
            </w:pPr>
            <w:r>
              <w:rPr>
                <w:lang w:val="zh-CN"/>
              </w:rPr>
              <w:t>2</w:t>
            </w:r>
          </w:p>
        </w:tc>
        <w:tc>
          <w:tcPr>
            <w:tcW w:w="1725" w:type="dxa"/>
            <w:tcBorders>
              <w:top w:val="single" w:color="auto" w:sz="2" w:space="0"/>
              <w:left w:val="single" w:color="auto" w:sz="2" w:space="0"/>
              <w:bottom w:val="single" w:color="auto" w:sz="2" w:space="0"/>
              <w:right w:val="single" w:color="auto" w:sz="2" w:space="0"/>
            </w:tcBorders>
            <w:vAlign w:val="center"/>
          </w:tcPr>
          <w:p w14:paraId="2869BCE0">
            <w:pPr>
              <w:rPr>
                <w:lang w:val="zh-CN"/>
              </w:rPr>
            </w:pPr>
            <w:r>
              <w:rPr>
                <w:lang w:val="zh-CN"/>
              </w:rPr>
              <w:t>Rs. 600,001 to Rs. 1,200,000</w:t>
            </w:r>
          </w:p>
        </w:tc>
        <w:tc>
          <w:tcPr>
            <w:tcW w:w="3465" w:type="dxa"/>
            <w:tcBorders>
              <w:top w:val="single" w:color="auto" w:sz="2" w:space="0"/>
              <w:left w:val="single" w:color="auto" w:sz="2" w:space="0"/>
              <w:bottom w:val="single" w:color="auto" w:sz="2" w:space="0"/>
              <w:right w:val="single" w:color="auto" w:sz="2" w:space="0"/>
            </w:tcBorders>
            <w:vAlign w:val="center"/>
          </w:tcPr>
          <w:p w14:paraId="7B7FB650">
            <w:pPr>
              <w:rPr>
                <w:lang w:val="zh-CN"/>
              </w:rPr>
            </w:pPr>
            <w:r>
              <w:rPr>
                <w:lang w:val="zh-CN"/>
              </w:rPr>
              <w:t>5% exceeding 600,000</w:t>
            </w:r>
          </w:p>
        </w:tc>
      </w:tr>
      <w:tr w14:paraId="0B9ADE7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311B0B85">
            <w:pPr>
              <w:rPr>
                <w:lang w:val="zh-CN"/>
              </w:rPr>
            </w:pPr>
            <w:r>
              <w:rPr>
                <w:lang w:val="zh-CN"/>
              </w:rPr>
              <w:t>3</w:t>
            </w:r>
          </w:p>
        </w:tc>
        <w:tc>
          <w:tcPr>
            <w:tcW w:w="1725" w:type="dxa"/>
            <w:tcBorders>
              <w:top w:val="single" w:color="auto" w:sz="2" w:space="0"/>
              <w:left w:val="single" w:color="auto" w:sz="2" w:space="0"/>
              <w:bottom w:val="single" w:color="auto" w:sz="2" w:space="0"/>
              <w:right w:val="single" w:color="auto" w:sz="2" w:space="0"/>
            </w:tcBorders>
            <w:vAlign w:val="center"/>
          </w:tcPr>
          <w:p w14:paraId="7595C50E">
            <w:pPr>
              <w:rPr>
                <w:lang w:val="zh-CN"/>
              </w:rPr>
            </w:pPr>
            <w:r>
              <w:rPr>
                <w:lang w:val="zh-CN"/>
              </w:rPr>
              <w:t>Rs. 1,200,001 to Rs. 1,800,000</w:t>
            </w:r>
          </w:p>
        </w:tc>
        <w:tc>
          <w:tcPr>
            <w:tcW w:w="3465" w:type="dxa"/>
            <w:tcBorders>
              <w:top w:val="single" w:color="auto" w:sz="2" w:space="0"/>
              <w:left w:val="single" w:color="auto" w:sz="2" w:space="0"/>
              <w:bottom w:val="single" w:color="auto" w:sz="2" w:space="0"/>
              <w:right w:val="single" w:color="auto" w:sz="2" w:space="0"/>
            </w:tcBorders>
            <w:vAlign w:val="center"/>
          </w:tcPr>
          <w:p w14:paraId="0DB59ED4">
            <w:pPr>
              <w:rPr>
                <w:lang w:val="zh-CN"/>
              </w:rPr>
            </w:pPr>
            <w:r>
              <w:rPr>
                <w:lang w:val="zh-CN"/>
              </w:rPr>
              <w:t>30,000 + 10% exceeding 1,200,000</w:t>
            </w:r>
          </w:p>
        </w:tc>
      </w:tr>
      <w:tr w14:paraId="4808A59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4F565972">
            <w:pPr>
              <w:rPr>
                <w:lang w:val="zh-CN"/>
              </w:rPr>
            </w:pPr>
            <w:r>
              <w:rPr>
                <w:lang w:val="zh-CN"/>
              </w:rPr>
              <w:t>4</w:t>
            </w:r>
          </w:p>
        </w:tc>
        <w:tc>
          <w:tcPr>
            <w:tcW w:w="1725" w:type="dxa"/>
            <w:tcBorders>
              <w:top w:val="single" w:color="auto" w:sz="2" w:space="0"/>
              <w:left w:val="single" w:color="auto" w:sz="2" w:space="0"/>
              <w:bottom w:val="single" w:color="auto" w:sz="2" w:space="0"/>
              <w:right w:val="single" w:color="auto" w:sz="2" w:space="0"/>
            </w:tcBorders>
            <w:vAlign w:val="center"/>
          </w:tcPr>
          <w:p w14:paraId="3EB243CE">
            <w:pPr>
              <w:rPr>
                <w:lang w:val="zh-CN"/>
              </w:rPr>
            </w:pPr>
            <w:r>
              <w:rPr>
                <w:lang w:val="zh-CN"/>
              </w:rPr>
              <w:t>Rs. 1,800,001 to Rs. 2,500,000</w:t>
            </w:r>
          </w:p>
        </w:tc>
        <w:tc>
          <w:tcPr>
            <w:tcW w:w="3465" w:type="dxa"/>
            <w:tcBorders>
              <w:top w:val="single" w:color="auto" w:sz="2" w:space="0"/>
              <w:left w:val="single" w:color="auto" w:sz="2" w:space="0"/>
              <w:bottom w:val="single" w:color="auto" w:sz="2" w:space="0"/>
              <w:right w:val="single" w:color="auto" w:sz="2" w:space="0"/>
            </w:tcBorders>
            <w:vAlign w:val="center"/>
          </w:tcPr>
          <w:p w14:paraId="57E0040F">
            <w:pPr>
              <w:rPr>
                <w:lang w:val="zh-CN"/>
              </w:rPr>
            </w:pPr>
            <w:r>
              <w:rPr>
                <w:lang w:val="zh-CN"/>
              </w:rPr>
              <w:t>90,000 + 15% exceeding 1,800,000</w:t>
            </w:r>
          </w:p>
        </w:tc>
      </w:tr>
      <w:tr w14:paraId="01F901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0EC477A8">
            <w:pPr>
              <w:rPr>
                <w:lang w:val="zh-CN"/>
              </w:rPr>
            </w:pPr>
            <w:r>
              <w:rPr>
                <w:lang w:val="zh-CN"/>
              </w:rPr>
              <w:t>5</w:t>
            </w:r>
          </w:p>
        </w:tc>
        <w:tc>
          <w:tcPr>
            <w:tcW w:w="1725" w:type="dxa"/>
            <w:tcBorders>
              <w:top w:val="single" w:color="auto" w:sz="2" w:space="0"/>
              <w:left w:val="single" w:color="auto" w:sz="2" w:space="0"/>
              <w:bottom w:val="single" w:color="auto" w:sz="2" w:space="0"/>
              <w:right w:val="single" w:color="auto" w:sz="2" w:space="0"/>
            </w:tcBorders>
            <w:vAlign w:val="center"/>
          </w:tcPr>
          <w:p w14:paraId="222F228D">
            <w:pPr>
              <w:rPr>
                <w:lang w:val="zh-CN"/>
              </w:rPr>
            </w:pPr>
            <w:r>
              <w:rPr>
                <w:lang w:val="zh-CN"/>
              </w:rPr>
              <w:t>Rs. 2,500,001 to Rs. 3,500,000</w:t>
            </w:r>
          </w:p>
        </w:tc>
        <w:tc>
          <w:tcPr>
            <w:tcW w:w="3465" w:type="dxa"/>
            <w:tcBorders>
              <w:top w:val="single" w:color="auto" w:sz="2" w:space="0"/>
              <w:left w:val="single" w:color="auto" w:sz="2" w:space="0"/>
              <w:bottom w:val="single" w:color="auto" w:sz="2" w:space="0"/>
              <w:right w:val="single" w:color="auto" w:sz="2" w:space="0"/>
            </w:tcBorders>
            <w:vAlign w:val="center"/>
          </w:tcPr>
          <w:p w14:paraId="054D4FBF">
            <w:pPr>
              <w:rPr>
                <w:lang w:val="zh-CN"/>
              </w:rPr>
            </w:pPr>
            <w:r>
              <w:rPr>
                <w:lang w:val="zh-CN"/>
              </w:rPr>
              <w:t>195,000 + 17.5% exceeding 2,500,000</w:t>
            </w:r>
          </w:p>
        </w:tc>
      </w:tr>
      <w:tr w14:paraId="60615EC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48C1C833">
            <w:pPr>
              <w:rPr>
                <w:lang w:val="zh-CN"/>
              </w:rPr>
            </w:pPr>
            <w:r>
              <w:rPr>
                <w:lang w:val="zh-CN"/>
              </w:rPr>
              <w:t>6</w:t>
            </w:r>
          </w:p>
        </w:tc>
        <w:tc>
          <w:tcPr>
            <w:tcW w:w="1725" w:type="dxa"/>
            <w:tcBorders>
              <w:top w:val="single" w:color="auto" w:sz="2" w:space="0"/>
              <w:left w:val="single" w:color="auto" w:sz="2" w:space="0"/>
              <w:bottom w:val="single" w:color="auto" w:sz="2" w:space="0"/>
              <w:right w:val="single" w:color="auto" w:sz="2" w:space="0"/>
            </w:tcBorders>
            <w:vAlign w:val="center"/>
          </w:tcPr>
          <w:p w14:paraId="4D2A2685">
            <w:pPr>
              <w:rPr>
                <w:lang w:val="zh-CN"/>
              </w:rPr>
            </w:pPr>
            <w:r>
              <w:rPr>
                <w:lang w:val="zh-CN"/>
              </w:rPr>
              <w:t>Rs. 3,500,001 to Rs. 5,000,000</w:t>
            </w:r>
          </w:p>
        </w:tc>
        <w:tc>
          <w:tcPr>
            <w:tcW w:w="3465" w:type="dxa"/>
            <w:tcBorders>
              <w:top w:val="single" w:color="auto" w:sz="2" w:space="0"/>
              <w:left w:val="single" w:color="auto" w:sz="2" w:space="0"/>
              <w:bottom w:val="single" w:color="auto" w:sz="2" w:space="0"/>
              <w:right w:val="single" w:color="auto" w:sz="2" w:space="0"/>
            </w:tcBorders>
            <w:vAlign w:val="center"/>
          </w:tcPr>
          <w:p w14:paraId="65148C90">
            <w:pPr>
              <w:rPr>
                <w:lang w:val="zh-CN"/>
              </w:rPr>
            </w:pPr>
            <w:r>
              <w:rPr>
                <w:lang w:val="zh-CN"/>
              </w:rPr>
              <w:t>370,000 + 20% exceeding 3,500,000</w:t>
            </w:r>
          </w:p>
        </w:tc>
      </w:tr>
      <w:tr w14:paraId="13BEE40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127D0847">
            <w:pPr>
              <w:rPr>
                <w:lang w:val="zh-CN"/>
              </w:rPr>
            </w:pPr>
            <w:r>
              <w:rPr>
                <w:lang w:val="zh-CN"/>
              </w:rPr>
              <w:t>7</w:t>
            </w:r>
          </w:p>
        </w:tc>
        <w:tc>
          <w:tcPr>
            <w:tcW w:w="1725" w:type="dxa"/>
            <w:tcBorders>
              <w:top w:val="single" w:color="auto" w:sz="2" w:space="0"/>
              <w:left w:val="single" w:color="auto" w:sz="2" w:space="0"/>
              <w:bottom w:val="single" w:color="auto" w:sz="2" w:space="0"/>
              <w:right w:val="single" w:color="auto" w:sz="2" w:space="0"/>
            </w:tcBorders>
            <w:vAlign w:val="center"/>
          </w:tcPr>
          <w:p w14:paraId="61B3506D">
            <w:pPr>
              <w:rPr>
                <w:lang w:val="zh-CN"/>
              </w:rPr>
            </w:pPr>
            <w:r>
              <w:rPr>
                <w:lang w:val="zh-CN"/>
              </w:rPr>
              <w:t>Rs. 5,000,001 to Rs. 8,000,000</w:t>
            </w:r>
          </w:p>
        </w:tc>
        <w:tc>
          <w:tcPr>
            <w:tcW w:w="3465" w:type="dxa"/>
            <w:tcBorders>
              <w:top w:val="single" w:color="auto" w:sz="2" w:space="0"/>
              <w:left w:val="single" w:color="auto" w:sz="2" w:space="0"/>
              <w:bottom w:val="single" w:color="auto" w:sz="2" w:space="0"/>
              <w:right w:val="single" w:color="auto" w:sz="2" w:space="0"/>
            </w:tcBorders>
            <w:vAlign w:val="center"/>
          </w:tcPr>
          <w:p w14:paraId="37214E20">
            <w:pPr>
              <w:rPr>
                <w:lang w:val="zh-CN"/>
              </w:rPr>
            </w:pPr>
            <w:r>
              <w:rPr>
                <w:lang w:val="zh-CN"/>
              </w:rPr>
              <w:t>670,000 + 22.5% exceeding 5,000,000</w:t>
            </w:r>
          </w:p>
        </w:tc>
      </w:tr>
      <w:tr w14:paraId="4E2529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1D3E1E62">
            <w:pPr>
              <w:rPr>
                <w:lang w:val="zh-CN"/>
              </w:rPr>
            </w:pPr>
            <w:r>
              <w:rPr>
                <w:lang w:val="zh-CN"/>
              </w:rPr>
              <w:t>8</w:t>
            </w:r>
          </w:p>
        </w:tc>
        <w:tc>
          <w:tcPr>
            <w:tcW w:w="1725" w:type="dxa"/>
            <w:tcBorders>
              <w:top w:val="single" w:color="auto" w:sz="2" w:space="0"/>
              <w:left w:val="single" w:color="auto" w:sz="2" w:space="0"/>
              <w:bottom w:val="single" w:color="auto" w:sz="2" w:space="0"/>
              <w:right w:val="single" w:color="auto" w:sz="2" w:space="0"/>
            </w:tcBorders>
            <w:vAlign w:val="center"/>
          </w:tcPr>
          <w:p w14:paraId="73206087">
            <w:pPr>
              <w:rPr>
                <w:lang w:val="zh-CN"/>
              </w:rPr>
            </w:pPr>
            <w:r>
              <w:rPr>
                <w:lang w:val="zh-CN"/>
              </w:rPr>
              <w:t>Rs. 8,000,001 to Rs. 12,000,000</w:t>
            </w:r>
          </w:p>
        </w:tc>
        <w:tc>
          <w:tcPr>
            <w:tcW w:w="3465" w:type="dxa"/>
            <w:tcBorders>
              <w:top w:val="single" w:color="auto" w:sz="2" w:space="0"/>
              <w:left w:val="single" w:color="auto" w:sz="2" w:space="0"/>
              <w:bottom w:val="single" w:color="auto" w:sz="2" w:space="0"/>
              <w:right w:val="single" w:color="auto" w:sz="2" w:space="0"/>
            </w:tcBorders>
            <w:vAlign w:val="center"/>
          </w:tcPr>
          <w:p w14:paraId="3C240D76">
            <w:pPr>
              <w:rPr>
                <w:lang w:val="zh-CN"/>
              </w:rPr>
            </w:pPr>
            <w:r>
              <w:rPr>
                <w:lang w:val="zh-CN"/>
              </w:rPr>
              <w:t>1,345,000 + 25% exceeding 8,000,000</w:t>
            </w:r>
          </w:p>
        </w:tc>
      </w:tr>
      <w:tr w14:paraId="0FBE49E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02B33855">
            <w:pPr>
              <w:rPr>
                <w:lang w:val="zh-CN"/>
              </w:rPr>
            </w:pPr>
            <w:r>
              <w:rPr>
                <w:lang w:val="zh-CN"/>
              </w:rPr>
              <w:t>9</w:t>
            </w:r>
          </w:p>
        </w:tc>
        <w:tc>
          <w:tcPr>
            <w:tcW w:w="1725" w:type="dxa"/>
            <w:tcBorders>
              <w:top w:val="single" w:color="auto" w:sz="2" w:space="0"/>
              <w:left w:val="single" w:color="auto" w:sz="2" w:space="0"/>
              <w:bottom w:val="single" w:color="auto" w:sz="2" w:space="0"/>
              <w:right w:val="single" w:color="auto" w:sz="2" w:space="0"/>
            </w:tcBorders>
            <w:vAlign w:val="center"/>
          </w:tcPr>
          <w:p w14:paraId="3084C06A">
            <w:pPr>
              <w:rPr>
                <w:lang w:val="zh-CN"/>
              </w:rPr>
            </w:pPr>
            <w:r>
              <w:rPr>
                <w:lang w:val="zh-CN"/>
              </w:rPr>
              <w:t>Rs. 12,000,001 to Rs. 30,000,000</w:t>
            </w:r>
          </w:p>
        </w:tc>
        <w:tc>
          <w:tcPr>
            <w:tcW w:w="3465" w:type="dxa"/>
            <w:tcBorders>
              <w:top w:val="single" w:color="auto" w:sz="2" w:space="0"/>
              <w:left w:val="single" w:color="auto" w:sz="2" w:space="0"/>
              <w:bottom w:val="single" w:color="auto" w:sz="2" w:space="0"/>
              <w:right w:val="single" w:color="auto" w:sz="2" w:space="0"/>
            </w:tcBorders>
            <w:vAlign w:val="center"/>
          </w:tcPr>
          <w:p w14:paraId="6FD66A70">
            <w:pPr>
              <w:rPr>
                <w:lang w:val="zh-CN"/>
              </w:rPr>
            </w:pPr>
            <w:r>
              <w:rPr>
                <w:lang w:val="zh-CN"/>
              </w:rPr>
              <w:t>2,345,000 + 27.5% exceeding 12,000,000</w:t>
            </w:r>
          </w:p>
        </w:tc>
      </w:tr>
      <w:tr w14:paraId="69BEDF7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12268056">
            <w:pPr>
              <w:rPr>
                <w:lang w:val="zh-CN"/>
              </w:rPr>
            </w:pPr>
            <w:r>
              <w:rPr>
                <w:lang w:val="zh-CN"/>
              </w:rPr>
              <w:t>10</w:t>
            </w:r>
          </w:p>
        </w:tc>
        <w:tc>
          <w:tcPr>
            <w:tcW w:w="1725" w:type="dxa"/>
            <w:tcBorders>
              <w:top w:val="single" w:color="auto" w:sz="2" w:space="0"/>
              <w:left w:val="single" w:color="auto" w:sz="2" w:space="0"/>
              <w:bottom w:val="single" w:color="auto" w:sz="2" w:space="0"/>
              <w:right w:val="single" w:color="auto" w:sz="2" w:space="0"/>
            </w:tcBorders>
            <w:vAlign w:val="center"/>
          </w:tcPr>
          <w:p w14:paraId="6A160D0D">
            <w:pPr>
              <w:rPr>
                <w:lang w:val="zh-CN"/>
              </w:rPr>
            </w:pPr>
            <w:r>
              <w:rPr>
                <w:lang w:val="zh-CN"/>
              </w:rPr>
              <w:t>Rs. 30,000,001 to Rs. 50,000,000</w:t>
            </w:r>
          </w:p>
        </w:tc>
        <w:tc>
          <w:tcPr>
            <w:tcW w:w="3465" w:type="dxa"/>
            <w:tcBorders>
              <w:top w:val="single" w:color="auto" w:sz="2" w:space="0"/>
              <w:left w:val="single" w:color="auto" w:sz="2" w:space="0"/>
              <w:bottom w:val="single" w:color="auto" w:sz="2" w:space="0"/>
              <w:right w:val="single" w:color="auto" w:sz="2" w:space="0"/>
            </w:tcBorders>
            <w:vAlign w:val="center"/>
          </w:tcPr>
          <w:p w14:paraId="6AFF9332">
            <w:pPr>
              <w:rPr>
                <w:lang w:val="zh-CN"/>
              </w:rPr>
            </w:pPr>
            <w:r>
              <w:rPr>
                <w:lang w:val="zh-CN"/>
              </w:rPr>
              <w:t>7,295,000 + 30% exceeding 30,000,000</w:t>
            </w:r>
          </w:p>
        </w:tc>
      </w:tr>
      <w:tr w14:paraId="6293EC4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5A8F0309">
            <w:pPr>
              <w:rPr>
                <w:lang w:val="zh-CN"/>
              </w:rPr>
            </w:pPr>
            <w:r>
              <w:rPr>
                <w:lang w:val="zh-CN"/>
              </w:rPr>
              <w:t>11</w:t>
            </w:r>
          </w:p>
        </w:tc>
        <w:tc>
          <w:tcPr>
            <w:tcW w:w="1725" w:type="dxa"/>
            <w:tcBorders>
              <w:top w:val="single" w:color="auto" w:sz="2" w:space="0"/>
              <w:left w:val="single" w:color="auto" w:sz="2" w:space="0"/>
              <w:bottom w:val="single" w:color="auto" w:sz="2" w:space="0"/>
              <w:right w:val="single" w:color="auto" w:sz="2" w:space="0"/>
            </w:tcBorders>
            <w:vAlign w:val="center"/>
          </w:tcPr>
          <w:p w14:paraId="3B745C51">
            <w:pPr>
              <w:rPr>
                <w:lang w:val="zh-CN"/>
              </w:rPr>
            </w:pPr>
            <w:r>
              <w:rPr>
                <w:lang w:val="zh-CN"/>
              </w:rPr>
              <w:t>Rs. 50,000,001 to Rs. 75,000,000</w:t>
            </w:r>
          </w:p>
        </w:tc>
        <w:tc>
          <w:tcPr>
            <w:tcW w:w="3465" w:type="dxa"/>
            <w:tcBorders>
              <w:top w:val="single" w:color="auto" w:sz="2" w:space="0"/>
              <w:left w:val="single" w:color="auto" w:sz="2" w:space="0"/>
              <w:bottom w:val="single" w:color="auto" w:sz="2" w:space="0"/>
              <w:right w:val="single" w:color="auto" w:sz="2" w:space="0"/>
            </w:tcBorders>
            <w:vAlign w:val="center"/>
          </w:tcPr>
          <w:p w14:paraId="7A06666A">
            <w:pPr>
              <w:rPr>
                <w:lang w:val="zh-CN"/>
              </w:rPr>
            </w:pPr>
            <w:r>
              <w:rPr>
                <w:lang w:val="zh-CN"/>
              </w:rPr>
              <w:t>13,295,000 + 32.5% exceeding 50,000,000</w:t>
            </w:r>
          </w:p>
        </w:tc>
      </w:tr>
      <w:tr w14:paraId="1BA36A8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5FDCAF6B">
            <w:pPr>
              <w:rPr>
                <w:lang w:val="zh-CN"/>
              </w:rPr>
            </w:pPr>
            <w:r>
              <w:rPr>
                <w:lang w:val="zh-CN"/>
              </w:rPr>
              <w:t>12</w:t>
            </w:r>
          </w:p>
        </w:tc>
        <w:tc>
          <w:tcPr>
            <w:tcW w:w="1725" w:type="dxa"/>
            <w:tcBorders>
              <w:top w:val="single" w:color="auto" w:sz="2" w:space="0"/>
              <w:left w:val="single" w:color="auto" w:sz="2" w:space="0"/>
              <w:bottom w:val="single" w:color="auto" w:sz="2" w:space="0"/>
              <w:right w:val="single" w:color="auto" w:sz="2" w:space="0"/>
            </w:tcBorders>
            <w:vAlign w:val="center"/>
          </w:tcPr>
          <w:p w14:paraId="30428239">
            <w:pPr>
              <w:rPr>
                <w:lang w:val="zh-CN"/>
              </w:rPr>
            </w:pPr>
            <w:r>
              <w:rPr>
                <w:lang w:val="zh-CN"/>
              </w:rPr>
              <w:t>Above 75,000,000</w:t>
            </w:r>
          </w:p>
        </w:tc>
        <w:tc>
          <w:tcPr>
            <w:tcW w:w="3465" w:type="dxa"/>
            <w:tcBorders>
              <w:top w:val="single" w:color="auto" w:sz="2" w:space="0"/>
              <w:left w:val="single" w:color="auto" w:sz="2" w:space="0"/>
              <w:bottom w:val="single" w:color="auto" w:sz="2" w:space="0"/>
              <w:right w:val="single" w:color="auto" w:sz="2" w:space="0"/>
            </w:tcBorders>
            <w:vAlign w:val="center"/>
          </w:tcPr>
          <w:p w14:paraId="028AA332">
            <w:pPr>
              <w:rPr>
                <w:lang w:val="zh-CN"/>
              </w:rPr>
            </w:pPr>
            <w:r>
              <w:rPr>
                <w:lang w:val="zh-CN"/>
              </w:rPr>
              <w:t>21,420,000 + 35% exceeding 75,000,000</w:t>
            </w:r>
          </w:p>
        </w:tc>
      </w:tr>
      <w:tr w14:paraId="1A7CBD4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673A0A04">
            <w:pPr>
              <w:rPr>
                <w:lang w:val="zh-CN"/>
              </w:rPr>
            </w:pPr>
            <w:r>
              <w:rPr>
                <w:lang w:val="zh-CN"/>
              </w:rPr>
              <w:t>13</w:t>
            </w:r>
          </w:p>
        </w:tc>
        <w:tc>
          <w:tcPr>
            <w:tcW w:w="1725" w:type="dxa"/>
            <w:tcBorders>
              <w:top w:val="single" w:color="auto" w:sz="2" w:space="0"/>
              <w:left w:val="single" w:color="auto" w:sz="2" w:space="0"/>
              <w:bottom w:val="single" w:color="auto" w:sz="2" w:space="0"/>
              <w:right w:val="single" w:color="auto" w:sz="2" w:space="0"/>
            </w:tcBorders>
            <w:vAlign w:val="center"/>
          </w:tcPr>
          <w:p w14:paraId="389F37E9">
            <w:pPr>
              <w:rPr>
                <w:lang w:val="zh-CN"/>
              </w:rPr>
            </w:pPr>
            <w:r>
              <w:rPr>
                <w:lang w:val="zh-CN"/>
              </w:rPr>
              <w:t>Directorship fee or fee for attending board meeting</w:t>
            </w:r>
          </w:p>
        </w:tc>
        <w:tc>
          <w:tcPr>
            <w:tcW w:w="3465" w:type="dxa"/>
            <w:tcBorders>
              <w:top w:val="single" w:color="auto" w:sz="2" w:space="0"/>
              <w:left w:val="single" w:color="auto" w:sz="2" w:space="0"/>
              <w:bottom w:val="single" w:color="auto" w:sz="2" w:space="0"/>
              <w:right w:val="single" w:color="auto" w:sz="2" w:space="0"/>
            </w:tcBorders>
            <w:vAlign w:val="center"/>
          </w:tcPr>
          <w:p w14:paraId="4F30B42B">
            <w:pPr>
              <w:rPr>
                <w:lang w:val="zh-CN"/>
              </w:rPr>
            </w:pPr>
            <w:r>
              <w:rPr>
                <w:lang w:val="zh-CN"/>
              </w:rPr>
              <w:t>12% of the amount payable</w:t>
            </w:r>
          </w:p>
        </w:tc>
      </w:tr>
    </w:tbl>
    <w:p w14:paraId="3E74FBBE">
      <w:pPr>
        <w:rPr>
          <w:lang w:val="zh-CN"/>
        </w:rPr>
      </w:pPr>
      <w:r>
        <w:rPr>
          <w:lang w:val="zh-CN"/>
        </w:rPr>
        <w:br w:type="textWrapping"/>
      </w:r>
      <w:r>
        <w:rPr>
          <w:lang w:val="zh-CN"/>
        </w:rPr>
        <w:t>Section 21. Deductions not allowed for business</w:t>
      </w:r>
      <w:r>
        <w:rPr>
          <w:lang w:val="zh-CN"/>
        </w:rPr>
        <w:br w:type="textWrapping"/>
      </w:r>
      <w:r>
        <w:rPr>
          <w:lang w:val="zh-CN"/>
        </w:rPr>
        <w:t>(h,j) any personal expenditures or salary of owner (individual) or partner</w:t>
      </w:r>
      <w:r>
        <w:rPr>
          <w:lang w:val="zh-CN"/>
        </w:rPr>
        <w:br w:type="textWrapping"/>
      </w:r>
      <w:r>
        <w:rPr>
          <w:lang w:val="zh-CN"/>
        </w:rPr>
        <w:t>(m) Salary more than 25,000 paid not through proper banking channel</w:t>
      </w:r>
      <w:r>
        <w:rPr>
          <w:lang w:val="zh-CN"/>
        </w:rPr>
        <w:br w:type="textWrapping"/>
      </w:r>
      <w:r>
        <w:rPr>
          <w:lang w:val="zh-CN"/>
        </w:rPr>
        <w:t>Section 182. Offences and penalties</w:t>
      </w:r>
      <w:r>
        <w:rPr>
          <w:lang w:val="zh-CN"/>
        </w:rPr>
        <w:br w:type="textWrapping"/>
      </w:r>
      <w:r>
        <w:rPr>
          <w:lang w:val="zh-CN"/>
        </w:rPr>
        <w:t>Non filing the return u/s 114 on due date = 0.1% of tax payable for each day of default, maximum 50% of taxpayable, minimum Rs. 40,000</w:t>
      </w:r>
      <w:r>
        <w:rPr>
          <w:lang w:val="zh-CN"/>
        </w:rPr>
        <w:br w:type="textWrapping"/>
      </w:r>
      <w:r>
        <w:rPr>
          <w:lang w:val="zh-CN"/>
        </w:rPr>
        <w:t>if salary income exceeds 75% of income and salary income is less than 5 million then minimum penalty = Rs. 5,000</w:t>
      </w:r>
    </w:p>
    <w:p w14:paraId="28EA8A68">
      <w:pPr>
        <w:rPr>
          <w:lang w:val="zh-CN"/>
        </w:rPr>
      </w:pPr>
      <w:r>
        <w:rPr>
          <w:lang w:val="zh-CN"/>
        </w:rPr>
        <w:br w:type="textWrapping"/>
      </w:r>
      <w:r>
        <w:rPr>
          <w:b/>
          <w:bCs/>
          <w:lang w:val="zh-CN"/>
        </w:rPr>
        <w:t>Allowances Benefits</w:t>
      </w:r>
    </w:p>
    <w:tbl>
      <w:tblPr>
        <w:tblStyle w:val="12"/>
        <w:tblW w:w="9750" w:type="dxa"/>
        <w:jc w:val="center"/>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0" w:type="dxa"/>
          <w:left w:w="0" w:type="dxa"/>
          <w:bottom w:w="0" w:type="dxa"/>
          <w:right w:w="0" w:type="dxa"/>
        </w:tblCellMar>
      </w:tblPr>
      <w:tblGrid>
        <w:gridCol w:w="3002"/>
        <w:gridCol w:w="6748"/>
      </w:tblGrid>
      <w:tr w14:paraId="3559240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80" w:hRule="atLeast"/>
          <w:jc w:val="center"/>
        </w:trPr>
        <w:tc>
          <w:tcPr>
            <w:tcW w:w="2970" w:type="dxa"/>
            <w:tcBorders>
              <w:top w:val="single" w:color="auto" w:sz="2" w:space="0"/>
              <w:left w:val="single" w:color="auto" w:sz="2" w:space="0"/>
              <w:bottom w:val="single" w:color="auto" w:sz="2" w:space="0"/>
              <w:right w:val="single" w:color="auto" w:sz="2" w:space="0"/>
            </w:tcBorders>
            <w:vAlign w:val="center"/>
          </w:tcPr>
          <w:p w14:paraId="48CC7E37">
            <w:pPr>
              <w:rPr>
                <w:lang w:val="zh-CN"/>
              </w:rPr>
            </w:pPr>
            <w:r>
              <w:rPr>
                <w:b/>
                <w:bCs/>
                <w:lang w:val="zh-CN"/>
              </w:rPr>
              <w:t>Description</w:t>
            </w:r>
          </w:p>
        </w:tc>
        <w:tc>
          <w:tcPr>
            <w:tcW w:w="6675" w:type="dxa"/>
            <w:tcBorders>
              <w:top w:val="single" w:color="auto" w:sz="2" w:space="0"/>
              <w:left w:val="single" w:color="auto" w:sz="2" w:space="0"/>
              <w:bottom w:val="single" w:color="auto" w:sz="2" w:space="0"/>
              <w:right w:val="single" w:color="auto" w:sz="2" w:space="0"/>
            </w:tcBorders>
            <w:vAlign w:val="center"/>
          </w:tcPr>
          <w:p w14:paraId="6812D3ED">
            <w:pPr>
              <w:rPr>
                <w:lang w:val="zh-CN"/>
              </w:rPr>
            </w:pPr>
            <w:r>
              <w:rPr>
                <w:b/>
                <w:bCs/>
                <w:lang w:val="zh-CN"/>
              </w:rPr>
              <w:t>Condition / Limit</w:t>
            </w:r>
          </w:p>
        </w:tc>
      </w:tr>
      <w:tr w14:paraId="174BD87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365" w:hRule="atLeast"/>
          <w:jc w:val="center"/>
        </w:trPr>
        <w:tc>
          <w:tcPr>
            <w:tcW w:w="2970" w:type="dxa"/>
            <w:tcBorders>
              <w:top w:val="single" w:color="auto" w:sz="2" w:space="0"/>
              <w:left w:val="single" w:color="auto" w:sz="2" w:space="0"/>
              <w:bottom w:val="single" w:color="auto" w:sz="2" w:space="0"/>
              <w:right w:val="single" w:color="auto" w:sz="2" w:space="0"/>
            </w:tcBorders>
            <w:vAlign w:val="center"/>
          </w:tcPr>
          <w:p w14:paraId="37C82731">
            <w:pPr>
              <w:rPr>
                <w:lang w:val="zh-CN"/>
              </w:rPr>
            </w:pPr>
            <w:r>
              <w:rPr>
                <w:lang w:val="zh-CN"/>
              </w:rPr>
              <w:t>Medical benefit or</w:t>
            </w:r>
            <w:r>
              <w:rPr>
                <w:lang w:val="zh-CN"/>
              </w:rPr>
              <w:br w:type="textWrapping"/>
            </w:r>
            <w:r>
              <w:rPr>
                <w:lang w:val="zh-CN"/>
              </w:rPr>
              <w:t>reimbursement</w:t>
            </w:r>
          </w:p>
        </w:tc>
        <w:tc>
          <w:tcPr>
            <w:tcW w:w="6675" w:type="dxa"/>
            <w:tcBorders>
              <w:top w:val="single" w:color="auto" w:sz="2" w:space="0"/>
              <w:left w:val="single" w:color="auto" w:sz="2" w:space="0"/>
              <w:bottom w:val="single" w:color="auto" w:sz="2" w:space="0"/>
              <w:right w:val="single" w:color="auto" w:sz="2" w:space="0"/>
            </w:tcBorders>
            <w:vAlign w:val="center"/>
          </w:tcPr>
          <w:p w14:paraId="149445F1">
            <w:pPr>
              <w:rPr>
                <w:lang w:val="zh-CN"/>
              </w:rPr>
            </w:pPr>
            <w:r>
              <w:rPr>
                <w:lang w:val="zh-CN"/>
              </w:rPr>
              <w:t>Medical facility or hospital charges are fully exempt, if provided in accordance with the terms of employment.</w:t>
            </w:r>
            <w:r>
              <w:rPr>
                <w:lang w:val="zh-CN"/>
              </w:rPr>
              <w:br w:type="textWrapping"/>
            </w:r>
            <w:r>
              <w:rPr>
                <w:lang w:val="zh-CN"/>
              </w:rPr>
              <w:t>Note: Exemption is available only when NTN of the hospital or clinic is disclosed and the employer certifies and attests the bills.</w:t>
            </w:r>
          </w:p>
        </w:tc>
      </w:tr>
      <w:tr w14:paraId="0CDB03C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2970" w:type="dxa"/>
            <w:tcBorders>
              <w:top w:val="single" w:color="auto" w:sz="2" w:space="0"/>
              <w:left w:val="single" w:color="auto" w:sz="2" w:space="0"/>
              <w:bottom w:val="single" w:color="auto" w:sz="2" w:space="0"/>
              <w:right w:val="single" w:color="auto" w:sz="2" w:space="0"/>
            </w:tcBorders>
            <w:vAlign w:val="center"/>
          </w:tcPr>
          <w:p w14:paraId="53BB08C5">
            <w:pPr>
              <w:rPr>
                <w:lang w:val="zh-CN"/>
              </w:rPr>
            </w:pPr>
            <w:r>
              <w:rPr>
                <w:lang w:val="zh-CN"/>
              </w:rPr>
              <w:t>Medical Allowance</w:t>
            </w:r>
            <w:r>
              <w:rPr>
                <w:lang w:val="zh-CN"/>
              </w:rPr>
              <w:br w:type="textWrapping"/>
            </w:r>
            <w:r>
              <w:rPr>
                <w:lang w:val="zh-CN"/>
              </w:rPr>
              <w:t>without any medical facility,</w:t>
            </w:r>
            <w:r>
              <w:rPr>
                <w:lang w:val="zh-CN"/>
              </w:rPr>
              <w:br w:type="textWrapping"/>
            </w:r>
            <w:r>
              <w:rPr>
                <w:lang w:val="zh-CN"/>
              </w:rPr>
              <w:t>clause 139</w:t>
            </w:r>
          </w:p>
        </w:tc>
        <w:tc>
          <w:tcPr>
            <w:tcW w:w="6675" w:type="dxa"/>
            <w:tcBorders>
              <w:top w:val="single" w:color="auto" w:sz="2" w:space="0"/>
              <w:left w:val="single" w:color="auto" w:sz="2" w:space="0"/>
              <w:bottom w:val="single" w:color="auto" w:sz="2" w:space="0"/>
              <w:right w:val="single" w:color="auto" w:sz="2" w:space="0"/>
            </w:tcBorders>
            <w:vAlign w:val="center"/>
          </w:tcPr>
          <w:p w14:paraId="494C3D5D">
            <w:pPr>
              <w:rPr>
                <w:lang w:val="zh-CN"/>
              </w:rPr>
            </w:pPr>
            <w:r>
              <w:rPr>
                <w:lang w:val="zh-CN"/>
              </w:rPr>
              <w:t>Exempt up to 10% of basic salary</w:t>
            </w:r>
          </w:p>
        </w:tc>
      </w:tr>
      <w:tr w14:paraId="1124B72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855" w:hRule="atLeast"/>
          <w:jc w:val="center"/>
        </w:trPr>
        <w:tc>
          <w:tcPr>
            <w:tcW w:w="2970" w:type="dxa"/>
            <w:tcBorders>
              <w:top w:val="single" w:color="auto" w:sz="2" w:space="0"/>
              <w:left w:val="single" w:color="auto" w:sz="2" w:space="0"/>
              <w:bottom w:val="single" w:color="auto" w:sz="2" w:space="0"/>
              <w:right w:val="single" w:color="auto" w:sz="2" w:space="0"/>
            </w:tcBorders>
            <w:vAlign w:val="center"/>
          </w:tcPr>
          <w:p w14:paraId="492CF82E">
            <w:pPr>
              <w:rPr>
                <w:lang w:val="zh-CN"/>
              </w:rPr>
            </w:pPr>
            <w:r>
              <w:rPr>
                <w:lang w:val="zh-CN"/>
              </w:rPr>
              <w:t>Special allowance or benefit</w:t>
            </w:r>
            <w:r>
              <w:rPr>
                <w:lang w:val="zh-CN"/>
              </w:rPr>
              <w:br w:type="textWrapping"/>
            </w:r>
            <w:r>
              <w:rPr>
                <w:lang w:val="zh-CN"/>
              </w:rPr>
              <w:t>except entertainment or</w:t>
            </w:r>
            <w:r>
              <w:rPr>
                <w:lang w:val="zh-CN"/>
              </w:rPr>
              <w:br w:type="textWrapping"/>
            </w:r>
            <w:r>
              <w:rPr>
                <w:lang w:val="zh-CN"/>
              </w:rPr>
              <w:t>conveyance allowance,</w:t>
            </w:r>
            <w:r>
              <w:rPr>
                <w:lang w:val="zh-CN"/>
              </w:rPr>
              <w:br w:type="textWrapping"/>
            </w:r>
            <w:r>
              <w:rPr>
                <w:lang w:val="zh-CN"/>
              </w:rPr>
              <w:t>Section. 12(3)(c), clause 39, 40 of 1/2nd schedule</w:t>
            </w:r>
          </w:p>
        </w:tc>
        <w:tc>
          <w:tcPr>
            <w:tcW w:w="6675" w:type="dxa"/>
            <w:tcBorders>
              <w:top w:val="single" w:color="auto" w:sz="2" w:space="0"/>
              <w:left w:val="single" w:color="auto" w:sz="2" w:space="0"/>
              <w:bottom w:val="single" w:color="auto" w:sz="2" w:space="0"/>
              <w:right w:val="single" w:color="auto" w:sz="2" w:space="0"/>
            </w:tcBorders>
            <w:vAlign w:val="center"/>
          </w:tcPr>
          <w:p w14:paraId="5D39E576">
            <w:pPr>
              <w:rPr>
                <w:lang w:val="zh-CN"/>
              </w:rPr>
            </w:pPr>
            <w:r>
              <w:rPr>
                <w:lang w:val="zh-CN"/>
              </w:rPr>
              <w:t>Fully exempt, if granted to meet expenses wholly and necessarily incurred in the performance of duties.</w:t>
            </w:r>
          </w:p>
        </w:tc>
      </w:tr>
      <w:tr w14:paraId="79069D3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175" w:hRule="atLeast"/>
          <w:jc w:val="center"/>
        </w:trPr>
        <w:tc>
          <w:tcPr>
            <w:tcW w:w="2970" w:type="dxa"/>
            <w:tcBorders>
              <w:top w:val="single" w:color="auto" w:sz="2" w:space="0"/>
              <w:left w:val="single" w:color="auto" w:sz="2" w:space="0"/>
              <w:bottom w:val="single" w:color="auto" w:sz="2" w:space="0"/>
              <w:right w:val="single" w:color="auto" w:sz="2" w:space="0"/>
            </w:tcBorders>
            <w:vAlign w:val="center"/>
          </w:tcPr>
          <w:p w14:paraId="48936AD3">
            <w:pPr>
              <w:rPr>
                <w:lang w:val="zh-CN"/>
              </w:rPr>
            </w:pPr>
            <w:r>
              <w:rPr>
                <w:lang w:val="zh-CN"/>
              </w:rPr>
              <w:t>Marginal perquisites</w:t>
            </w:r>
            <w:r>
              <w:rPr>
                <w:lang w:val="zh-CN"/>
              </w:rPr>
              <w:br w:type="textWrapping"/>
            </w:r>
            <w:r>
              <w:rPr>
                <w:lang w:val="zh-CN"/>
              </w:rPr>
              <w:t>(Clause 53A/1/2nd Schedule)</w:t>
            </w:r>
          </w:p>
        </w:tc>
        <w:tc>
          <w:tcPr>
            <w:tcW w:w="6675" w:type="dxa"/>
            <w:tcBorders>
              <w:top w:val="single" w:color="auto" w:sz="2" w:space="0"/>
              <w:left w:val="single" w:color="auto" w:sz="2" w:space="0"/>
              <w:bottom w:val="single" w:color="auto" w:sz="2" w:space="0"/>
              <w:right w:val="single" w:color="auto" w:sz="2" w:space="0"/>
            </w:tcBorders>
            <w:vAlign w:val="center"/>
          </w:tcPr>
          <w:p w14:paraId="5A75ECB4">
            <w:pPr>
              <w:rPr>
                <w:lang w:val="zh-CN"/>
              </w:rPr>
            </w:pPr>
            <w:r>
              <w:rPr>
                <w:lang w:val="zh-CN"/>
              </w:rPr>
              <w:t>The following perquisites are exempt received by an employee by virtue of his employment, namely:-</w:t>
            </w:r>
            <w:r>
              <w:rPr>
                <w:lang w:val="zh-CN"/>
              </w:rPr>
              <w:br w:type="textWrapping"/>
            </w:r>
            <w:r>
              <w:rPr>
                <w:lang w:val="zh-CN"/>
              </w:rPr>
              <w:t>(ii) free or subsidized food provided by hotels and restaurants to its employees during duty hours;</w:t>
            </w:r>
            <w:r>
              <w:rPr>
                <w:lang w:val="zh-CN"/>
              </w:rPr>
              <w:br w:type="textWrapping"/>
            </w:r>
            <w:r>
              <w:rPr>
                <w:lang w:val="zh-CN"/>
              </w:rPr>
              <w:t>(iii) free or subsidized education provided by an educational institution to the children of its employees;</w:t>
            </w:r>
            <w:r>
              <w:rPr>
                <w:lang w:val="zh-CN"/>
              </w:rPr>
              <w:br w:type="textWrapping"/>
            </w:r>
            <w:r>
              <w:rPr>
                <w:lang w:val="zh-CN"/>
              </w:rPr>
              <w:t>(iv)free or subsidized medical treatment provided by a hospital or a clinic to its employees;</w:t>
            </w:r>
          </w:p>
        </w:tc>
      </w:tr>
      <w:tr w14:paraId="0D96958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705" w:hRule="atLeast"/>
          <w:jc w:val="center"/>
        </w:trPr>
        <w:tc>
          <w:tcPr>
            <w:tcW w:w="2970" w:type="dxa"/>
            <w:tcBorders>
              <w:top w:val="single" w:color="auto" w:sz="2" w:space="0"/>
              <w:left w:val="single" w:color="auto" w:sz="2" w:space="0"/>
              <w:bottom w:val="single" w:color="auto" w:sz="2" w:space="0"/>
              <w:right w:val="single" w:color="auto" w:sz="2" w:space="0"/>
            </w:tcBorders>
            <w:vAlign w:val="center"/>
          </w:tcPr>
          <w:p w14:paraId="0DCB23ED">
            <w:pPr>
              <w:rPr>
                <w:lang w:val="zh-CN"/>
              </w:rPr>
            </w:pPr>
            <w:r>
              <w:rPr>
                <w:lang w:val="zh-CN"/>
              </w:rPr>
              <w:t>Employerâ€™s contribution to</w:t>
            </w:r>
            <w:r>
              <w:rPr>
                <w:lang w:val="zh-CN"/>
              </w:rPr>
              <w:br w:type="textWrapping"/>
            </w:r>
            <w:r>
              <w:rPr>
                <w:lang w:val="zh-CN"/>
              </w:rPr>
              <w:t>provident fund</w:t>
            </w:r>
          </w:p>
        </w:tc>
        <w:tc>
          <w:tcPr>
            <w:tcW w:w="6675" w:type="dxa"/>
            <w:tcBorders>
              <w:top w:val="single" w:color="auto" w:sz="2" w:space="0"/>
              <w:left w:val="single" w:color="auto" w:sz="2" w:space="0"/>
              <w:bottom w:val="single" w:color="auto" w:sz="2" w:space="0"/>
              <w:right w:val="single" w:color="auto" w:sz="2" w:space="0"/>
            </w:tcBorders>
            <w:vAlign w:val="center"/>
          </w:tcPr>
          <w:p w14:paraId="452DEAD4">
            <w:pPr>
              <w:rPr>
                <w:lang w:val="zh-CN"/>
              </w:rPr>
            </w:pPr>
            <w:r>
              <w:rPr>
                <w:lang w:val="zh-CN"/>
              </w:rPr>
              <w:t>Exempt up to lower of Rs.150,000 and 10% of salary, such that the amount does not exceed employeeâ€™s contributions.</w:t>
            </w:r>
          </w:p>
        </w:tc>
      </w:tr>
      <w:tr w14:paraId="2E47294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515" w:hRule="atLeast"/>
          <w:jc w:val="center"/>
        </w:trPr>
        <w:tc>
          <w:tcPr>
            <w:tcW w:w="2970" w:type="dxa"/>
            <w:tcBorders>
              <w:top w:val="single" w:color="auto" w:sz="2" w:space="0"/>
              <w:left w:val="single" w:color="auto" w:sz="2" w:space="0"/>
              <w:bottom w:val="single" w:color="auto" w:sz="2" w:space="0"/>
              <w:right w:val="single" w:color="auto" w:sz="2" w:space="0"/>
            </w:tcBorders>
            <w:vAlign w:val="center"/>
          </w:tcPr>
          <w:p w14:paraId="64F3B6C2">
            <w:pPr>
              <w:rPr>
                <w:lang w:val="zh-CN"/>
              </w:rPr>
            </w:pPr>
            <w:r>
              <w:rPr>
                <w:lang w:val="zh-CN"/>
              </w:rPr>
              <w:t>Gratuity/ superannuation/</w:t>
            </w:r>
            <w:r>
              <w:rPr>
                <w:lang w:val="zh-CN"/>
              </w:rPr>
              <w:br w:type="textWrapping"/>
            </w:r>
            <w:r>
              <w:rPr>
                <w:lang w:val="zh-CN"/>
              </w:rPr>
              <w:t>Commutation of Pension |</w:t>
            </w:r>
            <w:r>
              <w:rPr>
                <w:lang w:val="zh-CN"/>
              </w:rPr>
              <w:br w:type="textWrapping"/>
            </w:r>
            <w:r>
              <w:rPr>
                <w:lang w:val="zh-CN"/>
              </w:rPr>
              <w:t>Received in Pakistan by</w:t>
            </w:r>
            <w:r>
              <w:rPr>
                <w:lang w:val="zh-CN"/>
              </w:rPr>
              <w:br w:type="textWrapping"/>
            </w:r>
            <w:r>
              <w:rPr>
                <w:lang w:val="zh-CN"/>
              </w:rPr>
              <w:t>residents Clause 13 Part I, 2</w:t>
            </w:r>
            <w:r>
              <w:rPr>
                <w:vertAlign w:val="superscript"/>
                <w:lang w:val="zh-CN"/>
              </w:rPr>
              <w:t>nd</w:t>
            </w:r>
            <w:r>
              <w:rPr>
                <w:lang w:val="zh-CN"/>
              </w:rPr>
              <w:t> Schedule</w:t>
            </w:r>
          </w:p>
        </w:tc>
        <w:tc>
          <w:tcPr>
            <w:tcW w:w="6675" w:type="dxa"/>
            <w:tcBorders>
              <w:top w:val="single" w:color="auto" w:sz="2" w:space="0"/>
              <w:left w:val="single" w:color="auto" w:sz="2" w:space="0"/>
              <w:bottom w:val="single" w:color="auto" w:sz="2" w:space="0"/>
              <w:right w:val="single" w:color="auto" w:sz="2" w:space="0"/>
            </w:tcBorders>
            <w:vAlign w:val="center"/>
          </w:tcPr>
          <w:p w14:paraId="74B71254">
            <w:pPr>
              <w:rPr>
                <w:lang w:val="zh-CN"/>
              </w:rPr>
            </w:pPr>
            <w:r>
              <w:rPr>
                <w:b/>
                <w:bCs/>
                <w:lang w:val="zh-CN"/>
              </w:rPr>
              <w:t>On retirement/ death</w:t>
            </w:r>
            <w:r>
              <w:rPr>
                <w:lang w:val="zh-CN"/>
              </w:rPr>
              <w:br w:type="textWrapping"/>
            </w:r>
            <w:r>
              <w:rPr>
                <w:lang w:val="zh-CN"/>
              </w:rPr>
              <w:t>Government / Approved funds in accordance with the rules in Part III of the Sixth Schedule: Exempt Approved schemes by the Board : Exempt upto Rs. 300,000</w:t>
            </w:r>
            <w:r>
              <w:rPr>
                <w:lang w:val="zh-CN"/>
              </w:rPr>
              <w:br w:type="textWrapping"/>
            </w:r>
            <w:r>
              <w:rPr>
                <w:b/>
                <w:bCs/>
                <w:lang w:val="zh-CN"/>
              </w:rPr>
              <w:t>Other cases</w:t>
            </w:r>
            <w:r>
              <w:rPr>
                <w:lang w:val="zh-CN"/>
              </w:rPr>
              <w:t>: Exempt up to lower of 50% of the amount or Rs. 75,000.</w:t>
            </w:r>
          </w:p>
        </w:tc>
      </w:tr>
      <w:tr w14:paraId="4D0AC03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75" w:hRule="atLeast"/>
          <w:jc w:val="center"/>
        </w:trPr>
        <w:tc>
          <w:tcPr>
            <w:tcW w:w="2970" w:type="dxa"/>
            <w:tcBorders>
              <w:top w:val="single" w:color="auto" w:sz="2" w:space="0"/>
              <w:left w:val="single" w:color="auto" w:sz="2" w:space="0"/>
              <w:bottom w:val="single" w:color="auto" w:sz="2" w:space="0"/>
              <w:right w:val="single" w:color="auto" w:sz="2" w:space="0"/>
            </w:tcBorders>
            <w:vAlign w:val="center"/>
          </w:tcPr>
          <w:p w14:paraId="7B06B5D8">
            <w:pPr>
              <w:rPr>
                <w:lang w:val="zh-CN"/>
              </w:rPr>
            </w:pPr>
            <w:r>
              <w:rPr>
                <w:lang w:val="zh-CN"/>
              </w:rPr>
              <w:t>Pension clause 8, 9, 12, 13, 16 17, Part I, 2nd Schedule</w:t>
            </w:r>
          </w:p>
        </w:tc>
        <w:tc>
          <w:tcPr>
            <w:tcW w:w="6675" w:type="dxa"/>
            <w:tcBorders>
              <w:top w:val="single" w:color="auto" w:sz="2" w:space="0"/>
              <w:left w:val="single" w:color="auto" w:sz="2" w:space="0"/>
              <w:bottom w:val="single" w:color="auto" w:sz="2" w:space="0"/>
              <w:right w:val="single" w:color="auto" w:sz="2" w:space="0"/>
            </w:tcBorders>
            <w:vAlign w:val="center"/>
          </w:tcPr>
          <w:p w14:paraId="4B7B1CC0">
            <w:pPr>
              <w:rPr>
                <w:lang w:val="zh-CN"/>
              </w:rPr>
            </w:pPr>
            <w:r>
              <w:rPr>
                <w:lang w:val="zh-CN"/>
              </w:rPr>
              <w:t>Fully exempt, where the person does not continue to work for the same employer or an associate of the employer.</w:t>
            </w:r>
            <w:r>
              <w:rPr>
                <w:lang w:val="zh-CN"/>
              </w:rPr>
              <w:br w:type="textWrapping"/>
            </w:r>
            <w:r>
              <w:rPr>
                <w:lang w:val="zh-CN"/>
              </w:rPr>
              <w:t>Note: In case of pensions from more than one source, the pension</w:t>
            </w:r>
            <w:r>
              <w:rPr>
                <w:lang w:val="zh-CN"/>
              </w:rPr>
              <w:br w:type="textWrapping"/>
            </w:r>
            <w:r>
              <w:rPr>
                <w:lang w:val="zh-CN"/>
              </w:rPr>
              <w:t>representing the highest amount would be exempt.</w:t>
            </w:r>
          </w:p>
        </w:tc>
      </w:tr>
      <w:tr w14:paraId="32968EB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2970" w:type="dxa"/>
            <w:tcBorders>
              <w:top w:val="single" w:color="auto" w:sz="2" w:space="0"/>
              <w:left w:val="single" w:color="auto" w:sz="2" w:space="0"/>
              <w:bottom w:val="single" w:color="auto" w:sz="2" w:space="0"/>
              <w:right w:val="single" w:color="auto" w:sz="2" w:space="0"/>
            </w:tcBorders>
            <w:vAlign w:val="center"/>
          </w:tcPr>
          <w:p w14:paraId="307C4530">
            <w:pPr>
              <w:rPr>
                <w:lang w:val="zh-CN"/>
              </w:rPr>
            </w:pPr>
            <w:r>
              <w:rPr>
                <w:lang w:val="zh-CN"/>
              </w:rPr>
              <w:t>Employee share scheme, Sec</w:t>
            </w:r>
            <w:r>
              <w:rPr>
                <w:lang w:val="zh-CN"/>
              </w:rPr>
              <w:br w:type="textWrapping"/>
            </w:r>
            <w:r>
              <w:rPr>
                <w:lang w:val="zh-CN"/>
              </w:rPr>
              <w:t>14</w:t>
            </w:r>
          </w:p>
        </w:tc>
        <w:tc>
          <w:tcPr>
            <w:tcW w:w="6675" w:type="dxa"/>
            <w:tcBorders>
              <w:top w:val="single" w:color="auto" w:sz="2" w:space="0"/>
              <w:left w:val="single" w:color="auto" w:sz="2" w:space="0"/>
              <w:bottom w:val="single" w:color="auto" w:sz="2" w:space="0"/>
              <w:right w:val="single" w:color="auto" w:sz="2" w:space="0"/>
            </w:tcBorders>
            <w:vAlign w:val="center"/>
          </w:tcPr>
          <w:p w14:paraId="2A77020E">
            <w:pPr>
              <w:rPr>
                <w:lang w:val="zh-CN"/>
              </w:rPr>
            </w:pPr>
            <w:r>
              <w:rPr>
                <w:lang w:val="zh-CN"/>
              </w:rPr>
              <w:t>Not chargeable to tax until the right / option of disposed shares are acquired.</w:t>
            </w:r>
          </w:p>
        </w:tc>
      </w:tr>
      <w:tr w14:paraId="7C6C828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2970" w:type="dxa"/>
            <w:tcBorders>
              <w:top w:val="single" w:color="auto" w:sz="2" w:space="0"/>
              <w:left w:val="single" w:color="auto" w:sz="2" w:space="0"/>
              <w:bottom w:val="single" w:color="auto" w:sz="2" w:space="0"/>
              <w:right w:val="single" w:color="auto" w:sz="2" w:space="0"/>
            </w:tcBorders>
            <w:vAlign w:val="center"/>
          </w:tcPr>
          <w:p w14:paraId="54EE65E3">
            <w:pPr>
              <w:rPr>
                <w:lang w:val="zh-CN"/>
              </w:rPr>
            </w:pPr>
          </w:p>
        </w:tc>
        <w:tc>
          <w:tcPr>
            <w:tcW w:w="6675" w:type="dxa"/>
            <w:tcBorders>
              <w:top w:val="single" w:color="auto" w:sz="2" w:space="0"/>
              <w:left w:val="single" w:color="auto" w:sz="2" w:space="0"/>
              <w:bottom w:val="single" w:color="auto" w:sz="2" w:space="0"/>
              <w:right w:val="single" w:color="auto" w:sz="2" w:space="0"/>
            </w:tcBorders>
            <w:vAlign w:val="center"/>
          </w:tcPr>
          <w:p w14:paraId="58C79A04">
            <w:pPr>
              <w:rPr>
                <w:lang w:val="zh-CN"/>
              </w:rPr>
            </w:pPr>
            <w:r>
              <w:rPr>
                <w:lang w:val="zh-CN"/>
              </w:rPr>
              <w:t>Consideration for right/ option less cost in respect of said right/ option</w:t>
            </w:r>
          </w:p>
        </w:tc>
      </w:tr>
      <w:tr w14:paraId="7A80FD2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2970" w:type="dxa"/>
            <w:tcBorders>
              <w:top w:val="single" w:color="auto" w:sz="2" w:space="0"/>
              <w:left w:val="single" w:color="auto" w:sz="2" w:space="0"/>
              <w:bottom w:val="single" w:color="auto" w:sz="2" w:space="0"/>
              <w:right w:val="single" w:color="auto" w:sz="2" w:space="0"/>
            </w:tcBorders>
            <w:vAlign w:val="center"/>
          </w:tcPr>
          <w:p w14:paraId="69D7CD7B">
            <w:pPr>
              <w:rPr>
                <w:lang w:val="zh-CN"/>
              </w:rPr>
            </w:pPr>
          </w:p>
        </w:tc>
        <w:tc>
          <w:tcPr>
            <w:tcW w:w="6675" w:type="dxa"/>
            <w:tcBorders>
              <w:top w:val="single" w:color="auto" w:sz="2" w:space="0"/>
              <w:left w:val="single" w:color="auto" w:sz="2" w:space="0"/>
              <w:bottom w:val="single" w:color="auto" w:sz="2" w:space="0"/>
              <w:right w:val="single" w:color="auto" w:sz="2" w:space="0"/>
            </w:tcBorders>
            <w:vAlign w:val="center"/>
          </w:tcPr>
          <w:p w14:paraId="16F2C51F">
            <w:pPr>
              <w:rPr>
                <w:lang w:val="zh-CN"/>
              </w:rPr>
            </w:pPr>
            <w:r>
              <w:rPr>
                <w:lang w:val="zh-CN"/>
              </w:rPr>
              <w:t>Fair value of shares less sum paid against acquisition of shares.</w:t>
            </w:r>
          </w:p>
        </w:tc>
      </w:tr>
    </w:tbl>
    <w:p w14:paraId="417C47D6">
      <w:pPr>
        <w:rPr>
          <w:lang w:val="zh-CN"/>
        </w:rPr>
      </w:pPr>
      <w:r>
        <w:rPr>
          <w:lang w:val="zh-CN"/>
        </w:rPr>
        <w:br w:type="textWrapping"/>
      </w:r>
      <w:r>
        <w:rPr>
          <w:lang w:val="zh-CN"/>
        </w:rPr>
        <w:t>Following allowances are taxable</w:t>
      </w:r>
      <w:r>
        <w:rPr>
          <w:lang w:val="zh-CN"/>
        </w:rPr>
        <w:br w:type="textWrapping"/>
      </w:r>
      <w:r>
        <w:rPr>
          <w:lang w:val="zh-CN"/>
        </w:rPr>
        <w:t>Utility (Electricity, water, gas), House Rent, Accommodation (Higer of 45% of MTS / basic salary or FMV), Leave fare assistance, Salary of domestic servants(Rule 3, 13/5), Capital receipt on termination of employment, Tax paid by employer</w:t>
      </w:r>
      <w:r>
        <w:rPr>
          <w:lang w:val="zh-CN"/>
        </w:rPr>
        <w:br w:type="textWrapping"/>
      </w:r>
      <w:r>
        <w:rPr>
          <w:lang w:val="zh-CN"/>
        </w:rPr>
        <w:t>13/7, Loans - Interest free or concessional (difference between benchmark rate (w.e.f. 01 Jul 2012, 10% ) or concessional rate) â€“ not taxable in case loan is upto Rs.1,000,000 or where the employee waives interest on his account with the employer. Conveyance allowance</w:t>
      </w:r>
      <w:r>
        <w:rPr>
          <w:lang w:val="zh-CN"/>
        </w:rPr>
        <w:br w:type="textWrapping"/>
      </w:r>
      <w:r>
        <w:rPr>
          <w:lang w:val="zh-CN"/>
        </w:rPr>
        <w:t>Rule-5, 13/3, Vehicles (owned maintained by employer ), partly for private use : Taxable at 5% of cost or 5% of FMV (leased)</w:t>
      </w:r>
      <w:r>
        <w:rPr>
          <w:lang w:val="zh-CN"/>
        </w:rPr>
        <w:br w:type="textWrapping"/>
      </w:r>
      <w:r>
        <w:rPr>
          <w:lang w:val="zh-CN"/>
        </w:rPr>
        <w:t>Waiver of loan by the employer, Discharge of debt by employer, Transfer of assets or property (FMVpayment)</w:t>
      </w:r>
      <w:r>
        <w:rPr>
          <w:lang w:val="zh-CN"/>
        </w:rPr>
        <w:br w:type="textWrapping"/>
      </w:r>
      <w:r>
        <w:rPr>
          <w:lang w:val="zh-CN"/>
        </w:rPr>
        <w:t>Tax Rebates (from tax payable)</w:t>
      </w:r>
      <w:r>
        <w:rPr>
          <w:lang w:val="zh-CN"/>
        </w:rPr>
        <w:br w:type="textWrapping"/>
      </w:r>
      <w:r>
        <w:rPr>
          <w:lang w:val="zh-CN"/>
        </w:rPr>
        <w:t>Senior Citizens: 50% of tax liability if age is 60 years or more at beginning of tax year income is up to Rs.1M</w:t>
      </w:r>
      <w:r>
        <w:rPr>
          <w:lang w:val="zh-CN"/>
        </w:rPr>
        <w:br w:type="textWrapping"/>
      </w:r>
      <w:r>
        <w:rPr>
          <w:lang w:val="zh-CN"/>
        </w:rPr>
        <w:t>Disabled persons: 50% of tax liability if he is holder of CNIC for disabled persons income is up to Rs.1M</w:t>
      </w:r>
      <w:r>
        <w:rPr>
          <w:lang w:val="zh-CN"/>
        </w:rPr>
        <w:br w:type="textWrapping"/>
      </w:r>
      <w:r>
        <w:rPr>
          <w:lang w:val="zh-CN"/>
        </w:rPr>
        <w:t>Full time Teachers Researches: 25% of tax liability if employed in HEC recognized non- profit education or research institutions, including government research institutions except Teachers of Medical Profession who are also engaged in private practice or receive share of consideration from patients.</w:t>
      </w:r>
    </w:p>
    <w:p w14:paraId="57DCBD06">
      <w:pPr>
        <w:rPr>
          <w:lang w:val="zh-CN"/>
        </w:rPr>
      </w:pPr>
      <w:r>
        <w:rPr>
          <w:b/>
          <w:bCs/>
          <w:lang w:val="zh-CN"/>
        </w:rPr>
        <w:t>Allowable deductions (from taxable income)</w:t>
      </w:r>
    </w:p>
    <w:tbl>
      <w:tblPr>
        <w:tblStyle w:val="12"/>
        <w:tblW w:w="975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3327"/>
        <w:gridCol w:w="6423"/>
      </w:tblGrid>
      <w:tr w14:paraId="109325F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95" w:hRule="atLeast"/>
          <w:jc w:val="center"/>
        </w:trPr>
        <w:tc>
          <w:tcPr>
            <w:tcW w:w="3240" w:type="dxa"/>
            <w:tcBorders>
              <w:top w:val="single" w:color="auto" w:sz="2" w:space="0"/>
              <w:left w:val="single" w:color="auto" w:sz="2" w:space="0"/>
              <w:bottom w:val="single" w:color="auto" w:sz="2" w:space="0"/>
              <w:right w:val="single" w:color="auto" w:sz="2" w:space="0"/>
            </w:tcBorders>
            <w:vAlign w:val="center"/>
          </w:tcPr>
          <w:p w14:paraId="4A4C78AE">
            <w:pPr>
              <w:rPr>
                <w:lang w:val="zh-CN"/>
              </w:rPr>
            </w:pPr>
            <w:r>
              <w:rPr>
                <w:b/>
                <w:bCs/>
                <w:lang w:val="zh-CN"/>
              </w:rPr>
              <w:t>Description</w:t>
            </w:r>
          </w:p>
        </w:tc>
        <w:tc>
          <w:tcPr>
            <w:tcW w:w="6255" w:type="dxa"/>
            <w:tcBorders>
              <w:top w:val="single" w:color="auto" w:sz="2" w:space="0"/>
              <w:left w:val="single" w:color="auto" w:sz="2" w:space="0"/>
              <w:bottom w:val="single" w:color="auto" w:sz="2" w:space="0"/>
              <w:right w:val="single" w:color="auto" w:sz="2" w:space="0"/>
            </w:tcBorders>
            <w:vAlign w:val="center"/>
          </w:tcPr>
          <w:p w14:paraId="72BE7B75">
            <w:pPr>
              <w:rPr>
                <w:lang w:val="zh-CN"/>
              </w:rPr>
            </w:pPr>
            <w:r>
              <w:rPr>
                <w:b/>
                <w:bCs/>
                <w:lang w:val="zh-CN"/>
              </w:rPr>
              <w:t>Condition / Limit</w:t>
            </w:r>
          </w:p>
        </w:tc>
      </w:tr>
      <w:tr w14:paraId="61A84E0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50" w:hRule="atLeast"/>
          <w:jc w:val="center"/>
        </w:trPr>
        <w:tc>
          <w:tcPr>
            <w:tcW w:w="3240" w:type="dxa"/>
            <w:tcBorders>
              <w:top w:val="single" w:color="auto" w:sz="2" w:space="0"/>
              <w:left w:val="single" w:color="auto" w:sz="2" w:space="0"/>
              <w:bottom w:val="single" w:color="auto" w:sz="2" w:space="0"/>
              <w:right w:val="single" w:color="auto" w:sz="2" w:space="0"/>
            </w:tcBorders>
            <w:vAlign w:val="center"/>
          </w:tcPr>
          <w:p w14:paraId="7823AB39">
            <w:pPr>
              <w:rPr>
                <w:lang w:val="zh-CN"/>
              </w:rPr>
            </w:pPr>
            <w:r>
              <w:rPr>
                <w:lang w:val="zh-CN"/>
              </w:rPr>
              <w:t>Donations- clause 61, part 1 of 2nd schedule</w:t>
            </w:r>
          </w:p>
        </w:tc>
        <w:tc>
          <w:tcPr>
            <w:tcW w:w="6255" w:type="dxa"/>
            <w:tcBorders>
              <w:top w:val="single" w:color="auto" w:sz="2" w:space="0"/>
              <w:left w:val="single" w:color="auto" w:sz="2" w:space="0"/>
              <w:bottom w:val="single" w:color="auto" w:sz="2" w:space="0"/>
              <w:right w:val="single" w:color="auto" w:sz="2" w:space="0"/>
            </w:tcBorders>
            <w:vAlign w:val="center"/>
          </w:tcPr>
          <w:p w14:paraId="0B6CA2A5">
            <w:pPr>
              <w:rPr>
                <w:lang w:val="zh-CN"/>
              </w:rPr>
            </w:pPr>
            <w:r>
              <w:rPr>
                <w:lang w:val="zh-CN"/>
              </w:rPr>
              <w:t>to NPOs through cross cheque, up to 15% for Ind or AOP, 10% for company of taxable income</w:t>
            </w:r>
          </w:p>
        </w:tc>
      </w:tr>
      <w:tr w14:paraId="39AECA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55" w:hRule="atLeast"/>
          <w:jc w:val="center"/>
        </w:trPr>
        <w:tc>
          <w:tcPr>
            <w:tcW w:w="3240" w:type="dxa"/>
            <w:tcBorders>
              <w:top w:val="single" w:color="auto" w:sz="2" w:space="0"/>
              <w:left w:val="single" w:color="auto" w:sz="2" w:space="0"/>
              <w:bottom w:val="single" w:color="auto" w:sz="2" w:space="0"/>
              <w:right w:val="single" w:color="auto" w:sz="2" w:space="0"/>
            </w:tcBorders>
            <w:vAlign w:val="center"/>
          </w:tcPr>
          <w:p w14:paraId="10C59A2A">
            <w:pPr>
              <w:rPr>
                <w:lang w:val="zh-CN"/>
              </w:rPr>
            </w:pPr>
            <w:r>
              <w:rPr>
                <w:lang w:val="zh-CN"/>
              </w:rPr>
              <w:t>Zakat, Sec. 60</w:t>
            </w:r>
          </w:p>
        </w:tc>
        <w:tc>
          <w:tcPr>
            <w:tcW w:w="6255" w:type="dxa"/>
            <w:tcBorders>
              <w:top w:val="single" w:color="auto" w:sz="2" w:space="0"/>
              <w:left w:val="single" w:color="auto" w:sz="2" w:space="0"/>
              <w:bottom w:val="single" w:color="auto" w:sz="2" w:space="0"/>
              <w:right w:val="single" w:color="auto" w:sz="2" w:space="0"/>
            </w:tcBorders>
            <w:vAlign w:val="center"/>
          </w:tcPr>
          <w:p w14:paraId="07B80545">
            <w:pPr>
              <w:rPr>
                <w:lang w:val="zh-CN"/>
              </w:rPr>
            </w:pPr>
            <w:r>
              <w:rPr>
                <w:lang w:val="zh-CN"/>
              </w:rPr>
              <w:t>100% of amount of zakat, paid under the zakat and usher ordinance,</w:t>
            </w:r>
          </w:p>
        </w:tc>
      </w:tr>
      <w:tr w14:paraId="1D01FF4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3240" w:type="dxa"/>
            <w:tcBorders>
              <w:top w:val="single" w:color="auto" w:sz="2" w:space="0"/>
              <w:left w:val="single" w:color="auto" w:sz="2" w:space="0"/>
              <w:bottom w:val="single" w:color="auto" w:sz="2" w:space="0"/>
              <w:right w:val="single" w:color="auto" w:sz="2" w:space="0"/>
            </w:tcBorders>
            <w:vAlign w:val="center"/>
          </w:tcPr>
          <w:p w14:paraId="019CB287">
            <w:pPr>
              <w:rPr>
                <w:lang w:val="zh-CN"/>
              </w:rPr>
            </w:pPr>
            <w:r>
              <w:rPr>
                <w:lang w:val="zh-CN"/>
              </w:rPr>
              <w:t>WWF, WPF, Sec 60A 60B</w:t>
            </w:r>
          </w:p>
        </w:tc>
        <w:tc>
          <w:tcPr>
            <w:tcW w:w="6255" w:type="dxa"/>
            <w:tcBorders>
              <w:top w:val="single" w:color="auto" w:sz="2" w:space="0"/>
              <w:left w:val="single" w:color="auto" w:sz="2" w:space="0"/>
              <w:bottom w:val="single" w:color="auto" w:sz="2" w:space="0"/>
              <w:right w:val="single" w:color="auto" w:sz="2" w:space="0"/>
            </w:tcBorders>
            <w:vAlign w:val="center"/>
          </w:tcPr>
          <w:p w14:paraId="7379A6D4">
            <w:pPr>
              <w:rPr>
                <w:lang w:val="zh-CN"/>
              </w:rPr>
            </w:pPr>
            <w:r>
              <w:rPr>
                <w:lang w:val="zh-CN"/>
              </w:rPr>
              <w:t>Amount paid according to relevant Ordinance / Act</w:t>
            </w:r>
          </w:p>
        </w:tc>
      </w:tr>
      <w:tr w14:paraId="54BA22F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875" w:hRule="atLeast"/>
          <w:jc w:val="center"/>
        </w:trPr>
        <w:tc>
          <w:tcPr>
            <w:tcW w:w="3240" w:type="dxa"/>
            <w:tcBorders>
              <w:top w:val="single" w:color="auto" w:sz="2" w:space="0"/>
              <w:left w:val="single" w:color="auto" w:sz="2" w:space="0"/>
              <w:bottom w:val="single" w:color="auto" w:sz="2" w:space="0"/>
              <w:right w:val="single" w:color="auto" w:sz="2" w:space="0"/>
            </w:tcBorders>
            <w:vAlign w:val="center"/>
          </w:tcPr>
          <w:p w14:paraId="70AB8B07">
            <w:pPr>
              <w:rPr>
                <w:lang w:val="zh-CN"/>
              </w:rPr>
            </w:pPr>
            <w:r>
              <w:rPr>
                <w:lang w:val="zh-CN"/>
              </w:rPr>
              <w:t>Profit on debt, Sec. 60(C)</w:t>
            </w:r>
          </w:p>
        </w:tc>
        <w:tc>
          <w:tcPr>
            <w:tcW w:w="6255" w:type="dxa"/>
            <w:tcBorders>
              <w:top w:val="single" w:color="auto" w:sz="2" w:space="0"/>
              <w:left w:val="single" w:color="auto" w:sz="2" w:space="0"/>
              <w:bottom w:val="single" w:color="auto" w:sz="2" w:space="0"/>
              <w:right w:val="single" w:color="auto" w:sz="2" w:space="0"/>
            </w:tcBorders>
            <w:vAlign w:val="center"/>
          </w:tcPr>
          <w:p w14:paraId="000180E3">
            <w:pPr>
              <w:rPr>
                <w:lang w:val="zh-CN"/>
              </w:rPr>
            </w:pPr>
            <w:r>
              <w:rPr>
                <w:lang w:val="zh-CN"/>
              </w:rPr>
              <w:t>Paid on loan by purchase or construction of house Lower of; 50% of taxable income or Rs. 2 million</w:t>
            </w:r>
            <w:r>
              <w:rPr>
                <w:lang w:val="zh-CN"/>
              </w:rPr>
              <w:br w:type="textWrapping"/>
            </w:r>
            <w:r>
              <w:rPr>
                <w:lang w:val="zh-CN"/>
              </w:rPr>
              <w:t>Note: Profit on debt means profit/ share in rent and appreciation in value of house paid to banks, financial institutions, government, local authority, statutory body or listed company. This implies that loan from employer is also covered if it is a listed company or statutory body.</w:t>
            </w:r>
          </w:p>
        </w:tc>
      </w:tr>
      <w:tr w14:paraId="47C3AA9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25" w:hRule="atLeast"/>
          <w:jc w:val="center"/>
        </w:trPr>
        <w:tc>
          <w:tcPr>
            <w:tcW w:w="3240" w:type="dxa"/>
            <w:tcBorders>
              <w:top w:val="single" w:color="auto" w:sz="2" w:space="0"/>
              <w:left w:val="single" w:color="auto" w:sz="2" w:space="0"/>
              <w:bottom w:val="single" w:color="auto" w:sz="2" w:space="0"/>
              <w:right w:val="single" w:color="auto" w:sz="2" w:space="0"/>
            </w:tcBorders>
            <w:vAlign w:val="center"/>
          </w:tcPr>
          <w:p w14:paraId="03DC0E70">
            <w:pPr>
              <w:rPr>
                <w:lang w:val="zh-CN"/>
              </w:rPr>
            </w:pPr>
            <w:r>
              <w:rPr>
                <w:lang w:val="zh-CN"/>
              </w:rPr>
              <w:t>Educational expenses, Sec.</w:t>
            </w:r>
            <w:r>
              <w:rPr>
                <w:lang w:val="zh-CN"/>
              </w:rPr>
              <w:br w:type="textWrapping"/>
            </w:r>
            <w:r>
              <w:rPr>
                <w:lang w:val="zh-CN"/>
              </w:rPr>
              <w:t>60(D)</w:t>
            </w:r>
          </w:p>
        </w:tc>
        <w:tc>
          <w:tcPr>
            <w:tcW w:w="6255" w:type="dxa"/>
            <w:tcBorders>
              <w:top w:val="single" w:color="auto" w:sz="2" w:space="0"/>
              <w:left w:val="single" w:color="auto" w:sz="2" w:space="0"/>
              <w:bottom w:val="single" w:color="auto" w:sz="2" w:space="0"/>
              <w:right w:val="single" w:color="auto" w:sz="2" w:space="0"/>
            </w:tcBorders>
            <w:vAlign w:val="center"/>
          </w:tcPr>
          <w:p w14:paraId="2C22A293">
            <w:pPr>
              <w:rPr>
                <w:lang w:val="zh-CN"/>
              </w:rPr>
            </w:pPr>
            <w:r>
              <w:rPr>
                <w:lang w:val="zh-CN"/>
              </w:rPr>
              <w:t>Lower of: 5% of total tuition fee or 25% of taxable income or</w:t>
            </w:r>
            <w:r>
              <w:rPr>
                <w:lang w:val="zh-CN"/>
              </w:rPr>
              <w:br w:type="textWrapping"/>
            </w:r>
            <w:r>
              <w:rPr>
                <w:lang w:val="zh-CN"/>
              </w:rPr>
              <w:t>Rs. 60,000 x number of children Note: The deduction of allowance is restricted to individuals having annual taxable income less than Rs.1,500,000. The deduction is allowed upon furnishing of NTN or name of educational institution.</w:t>
            </w:r>
          </w:p>
        </w:tc>
      </w:tr>
    </w:tbl>
    <w:p w14:paraId="3874E7E8">
      <w:pPr>
        <w:rPr>
          <w:lang w:val="zh-CN"/>
        </w:rPr>
      </w:pPr>
      <w:r>
        <w:rPr>
          <w:lang w:val="zh-CN"/>
        </w:rPr>
        <w:br w:type="textWrapping"/>
      </w:r>
      <w:r>
        <w:rPr>
          <w:b/>
          <w:bCs/>
          <w:lang w:val="zh-CN"/>
        </w:rPr>
        <w:t>Tax Credits (from tax payable)</w:t>
      </w:r>
    </w:p>
    <w:tbl>
      <w:tblPr>
        <w:tblStyle w:val="12"/>
        <w:tblW w:w="975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3332"/>
        <w:gridCol w:w="6418"/>
      </w:tblGrid>
      <w:tr w14:paraId="0EBB5A8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80" w:hRule="atLeast"/>
          <w:jc w:val="center"/>
        </w:trPr>
        <w:tc>
          <w:tcPr>
            <w:tcW w:w="3240" w:type="dxa"/>
            <w:tcBorders>
              <w:top w:val="single" w:color="auto" w:sz="2" w:space="0"/>
              <w:left w:val="single" w:color="auto" w:sz="2" w:space="0"/>
              <w:bottom w:val="single" w:color="auto" w:sz="2" w:space="0"/>
              <w:right w:val="single" w:color="auto" w:sz="2" w:space="0"/>
            </w:tcBorders>
            <w:vAlign w:val="center"/>
          </w:tcPr>
          <w:p w14:paraId="77F182D3">
            <w:pPr>
              <w:rPr>
                <w:lang w:val="zh-CN"/>
              </w:rPr>
            </w:pPr>
            <w:r>
              <w:rPr>
                <w:b/>
                <w:bCs/>
                <w:lang w:val="zh-CN"/>
              </w:rPr>
              <w:t>Description</w:t>
            </w:r>
          </w:p>
        </w:tc>
        <w:tc>
          <w:tcPr>
            <w:tcW w:w="6240" w:type="dxa"/>
            <w:tcBorders>
              <w:top w:val="single" w:color="auto" w:sz="2" w:space="0"/>
              <w:left w:val="single" w:color="auto" w:sz="2" w:space="0"/>
              <w:bottom w:val="single" w:color="auto" w:sz="2" w:space="0"/>
              <w:right w:val="single" w:color="auto" w:sz="2" w:space="0"/>
            </w:tcBorders>
            <w:vAlign w:val="center"/>
          </w:tcPr>
          <w:p w14:paraId="0734C6CD">
            <w:pPr>
              <w:rPr>
                <w:lang w:val="zh-CN"/>
              </w:rPr>
            </w:pPr>
            <w:r>
              <w:rPr>
                <w:b/>
                <w:bCs/>
                <w:lang w:val="zh-CN"/>
              </w:rPr>
              <w:t>Lower of</w:t>
            </w:r>
          </w:p>
        </w:tc>
      </w:tr>
      <w:tr w14:paraId="1FC756F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25" w:hRule="atLeast"/>
          <w:jc w:val="center"/>
        </w:trPr>
        <w:tc>
          <w:tcPr>
            <w:tcW w:w="3240" w:type="dxa"/>
            <w:tcBorders>
              <w:top w:val="single" w:color="auto" w:sz="2" w:space="0"/>
              <w:left w:val="single" w:color="auto" w:sz="2" w:space="0"/>
              <w:bottom w:val="single" w:color="auto" w:sz="2" w:space="0"/>
              <w:right w:val="single" w:color="auto" w:sz="2" w:space="0"/>
            </w:tcBorders>
            <w:vAlign w:val="center"/>
          </w:tcPr>
          <w:p w14:paraId="448D8FEA">
            <w:pPr>
              <w:rPr>
                <w:lang w:val="zh-CN"/>
              </w:rPr>
            </w:pPr>
            <w:r>
              <w:rPr>
                <w:lang w:val="zh-CN"/>
              </w:rPr>
              <w:t>Charitable institutions, Sec 61</w:t>
            </w:r>
          </w:p>
        </w:tc>
        <w:tc>
          <w:tcPr>
            <w:tcW w:w="6240" w:type="dxa"/>
            <w:tcBorders>
              <w:top w:val="single" w:color="auto" w:sz="2" w:space="0"/>
              <w:left w:val="single" w:color="auto" w:sz="2" w:space="0"/>
              <w:bottom w:val="single" w:color="auto" w:sz="2" w:space="0"/>
              <w:right w:val="single" w:color="auto" w:sz="2" w:space="0"/>
            </w:tcBorders>
            <w:vAlign w:val="center"/>
          </w:tcPr>
          <w:p w14:paraId="05D6E2CC">
            <w:pPr>
              <w:rPr>
                <w:lang w:val="zh-CN"/>
              </w:rPr>
            </w:pPr>
            <w:r>
              <w:rPr>
                <w:lang w:val="zh-CN"/>
              </w:rPr>
              <w:t>Amount of donation, FMV of donated property or 30% of taxable income tax assessed / taxable income.</w:t>
            </w:r>
          </w:p>
        </w:tc>
      </w:tr>
      <w:tr w14:paraId="0D19423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3240" w:type="dxa"/>
            <w:tcBorders>
              <w:top w:val="single" w:color="auto" w:sz="2" w:space="0"/>
              <w:left w:val="single" w:color="auto" w:sz="2" w:space="0"/>
              <w:bottom w:val="single" w:color="auto" w:sz="2" w:space="0"/>
              <w:right w:val="single" w:color="auto" w:sz="2" w:space="0"/>
            </w:tcBorders>
            <w:vAlign w:val="center"/>
          </w:tcPr>
          <w:p w14:paraId="3D603E09">
            <w:pPr>
              <w:rPr>
                <w:lang w:val="zh-CN"/>
              </w:rPr>
            </w:pPr>
            <w:r>
              <w:rPr>
                <w:lang w:val="zh-CN"/>
              </w:rPr>
              <w:t>Investment in shares or</w:t>
            </w:r>
            <w:r>
              <w:rPr>
                <w:lang w:val="zh-CN"/>
              </w:rPr>
              <w:br w:type="textWrapping"/>
            </w:r>
            <w:r>
              <w:rPr>
                <w:lang w:val="zh-CN"/>
              </w:rPr>
              <w:t>Insurance premium. Sec 62</w:t>
            </w:r>
          </w:p>
        </w:tc>
        <w:tc>
          <w:tcPr>
            <w:tcW w:w="6240" w:type="dxa"/>
            <w:tcBorders>
              <w:top w:val="single" w:color="auto" w:sz="2" w:space="0"/>
              <w:left w:val="single" w:color="auto" w:sz="2" w:space="0"/>
              <w:bottom w:val="single" w:color="auto" w:sz="2" w:space="0"/>
              <w:right w:val="single" w:color="auto" w:sz="2" w:space="0"/>
            </w:tcBorders>
            <w:vAlign w:val="center"/>
          </w:tcPr>
          <w:p w14:paraId="3038C639">
            <w:pPr>
              <w:rPr>
                <w:lang w:val="zh-CN"/>
              </w:rPr>
            </w:pPr>
            <w:r>
              <w:rPr>
                <w:lang w:val="zh-CN"/>
              </w:rPr>
              <w:t>20% of taxable income or Rs. 2,000,000 x tax assessed / taxable income</w:t>
            </w:r>
          </w:p>
        </w:tc>
      </w:tr>
      <w:tr w14:paraId="2A90EC2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965" w:hRule="atLeast"/>
          <w:jc w:val="center"/>
        </w:trPr>
        <w:tc>
          <w:tcPr>
            <w:tcW w:w="3240" w:type="dxa"/>
            <w:tcBorders>
              <w:top w:val="single" w:color="auto" w:sz="2" w:space="0"/>
              <w:left w:val="single" w:color="auto" w:sz="2" w:space="0"/>
              <w:bottom w:val="single" w:color="auto" w:sz="2" w:space="0"/>
              <w:right w:val="single" w:color="auto" w:sz="2" w:space="0"/>
            </w:tcBorders>
            <w:vAlign w:val="center"/>
          </w:tcPr>
          <w:p w14:paraId="1D0DF2BA">
            <w:pPr>
              <w:rPr>
                <w:lang w:val="zh-CN"/>
              </w:rPr>
            </w:pPr>
            <w:r>
              <w:rPr>
                <w:lang w:val="zh-CN"/>
              </w:rPr>
              <w:t>Health Insurance premium. Sec</w:t>
            </w:r>
            <w:r>
              <w:rPr>
                <w:lang w:val="zh-CN"/>
              </w:rPr>
              <w:br w:type="textWrapping"/>
            </w:r>
            <w:r>
              <w:rPr>
                <w:lang w:val="zh-CN"/>
              </w:rPr>
              <w:t>62A</w:t>
            </w:r>
          </w:p>
        </w:tc>
        <w:tc>
          <w:tcPr>
            <w:tcW w:w="6240" w:type="dxa"/>
            <w:tcBorders>
              <w:top w:val="single" w:color="auto" w:sz="2" w:space="0"/>
              <w:left w:val="single" w:color="auto" w:sz="2" w:space="0"/>
              <w:bottom w:val="single" w:color="auto" w:sz="2" w:space="0"/>
              <w:right w:val="single" w:color="auto" w:sz="2" w:space="0"/>
            </w:tcBorders>
            <w:vAlign w:val="center"/>
          </w:tcPr>
          <w:p w14:paraId="3B258CA2">
            <w:pPr>
              <w:rPr>
                <w:lang w:val="zh-CN"/>
              </w:rPr>
            </w:pPr>
            <w:r>
              <w:rPr>
                <w:lang w:val="zh-CN"/>
              </w:rPr>
              <w:t>Lower of; 5% of taxable income or Rs. 150,000 x tax assessed / taxable income</w:t>
            </w:r>
            <w:r>
              <w:rPr>
                <w:lang w:val="zh-CN"/>
              </w:rPr>
              <w:br w:type="textWrapping"/>
            </w:r>
            <w:r>
              <w:rPr>
                <w:lang w:val="zh-CN"/>
              </w:rPr>
              <w:t>Note: The benefit is restricted to resident person being filer (i.e. borne on Active Taxpayers List) and health insurance premium is paid to insurance companies registered with SECP</w:t>
            </w:r>
          </w:p>
        </w:tc>
      </w:tr>
      <w:tr w14:paraId="296E36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625" w:hRule="atLeast"/>
          <w:jc w:val="center"/>
        </w:trPr>
        <w:tc>
          <w:tcPr>
            <w:tcW w:w="3240" w:type="dxa"/>
            <w:tcBorders>
              <w:top w:val="single" w:color="auto" w:sz="2" w:space="0"/>
              <w:left w:val="single" w:color="auto" w:sz="2" w:space="0"/>
              <w:bottom w:val="single" w:color="auto" w:sz="2" w:space="0"/>
              <w:right w:val="single" w:color="auto" w:sz="2" w:space="0"/>
            </w:tcBorders>
            <w:vAlign w:val="center"/>
          </w:tcPr>
          <w:p w14:paraId="14BFA08E">
            <w:pPr>
              <w:rPr>
                <w:lang w:val="zh-CN"/>
              </w:rPr>
            </w:pPr>
            <w:r>
              <w:rPr>
                <w:lang w:val="zh-CN"/>
              </w:rPr>
              <w:t>Contribution to approved</w:t>
            </w:r>
            <w:r>
              <w:rPr>
                <w:lang w:val="zh-CN"/>
              </w:rPr>
              <w:br w:type="textWrapping"/>
            </w:r>
            <w:r>
              <w:rPr>
                <w:lang w:val="zh-CN"/>
              </w:rPr>
              <w:t>pension fund. Sec 63</w:t>
            </w:r>
          </w:p>
        </w:tc>
        <w:tc>
          <w:tcPr>
            <w:tcW w:w="6240" w:type="dxa"/>
            <w:tcBorders>
              <w:top w:val="single" w:color="auto" w:sz="2" w:space="0"/>
              <w:left w:val="single" w:color="auto" w:sz="2" w:space="0"/>
              <w:bottom w:val="single" w:color="auto" w:sz="2" w:space="0"/>
              <w:right w:val="single" w:color="auto" w:sz="2" w:space="0"/>
            </w:tcBorders>
            <w:vAlign w:val="center"/>
          </w:tcPr>
          <w:p w14:paraId="167F3703">
            <w:pPr>
              <w:rPr>
                <w:lang w:val="zh-CN"/>
              </w:rPr>
            </w:pPr>
            <w:r>
              <w:rPr>
                <w:lang w:val="zh-CN"/>
              </w:rPr>
              <w:t>Contribution amount or 25% of taxable income x tax assessed / taxable income</w:t>
            </w:r>
            <w:r>
              <w:rPr>
                <w:lang w:val="zh-CN"/>
              </w:rPr>
              <w:br w:type="textWrapping"/>
            </w:r>
            <w:r>
              <w:rPr>
                <w:lang w:val="zh-CN"/>
              </w:rPr>
              <w:t>Note: Additional contribution allowed to persons joining a fund up to June 30, 2016, if the age at joining is 41yrs or above. The said additional contribution is allowed at 2% for each year exceeding the age of 40 years such that the applicable amount does not exceed 50% of last yearâ€™s taxable income. The further 2% additional contribution is allowed upto June 30, 2019 provided that contribution amount does not exceed 30% of last yearâ€™s taxable income</w:t>
            </w:r>
          </w:p>
        </w:tc>
      </w:tr>
    </w:tbl>
    <w:p w14:paraId="0423E5A8">
      <w:pPr>
        <w:rPr>
          <w:lang w:val="zh-CN"/>
        </w:rPr>
      </w:pPr>
      <w:r>
        <w:rPr>
          <w:lang w:val="zh-CN"/>
        </w:rPr>
        <w:pict>
          <v:rect id="_x0000_i1025" o:spt="1" style="height:1.5pt;width:0pt;" fillcolor="#A0A0A0" filled="t" stroked="f" coordsize="21600,21600" o:hr="t" o:hrstd="t" o:hralign="center">
            <v:path/>
            <v:fill on="t" focussize="0,0"/>
            <v:stroke on="f"/>
            <v:imagedata o:title=""/>
            <o:lock v:ext="edit"/>
            <w10:wrap type="none"/>
            <w10:anchorlock/>
          </v:rect>
        </w:pict>
      </w:r>
    </w:p>
    <w:tbl>
      <w:tblPr>
        <w:tblStyle w:val="12"/>
        <w:tblW w:w="975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2" w:type="dxa"/>
          <w:left w:w="12" w:type="dxa"/>
          <w:bottom w:w="12" w:type="dxa"/>
          <w:right w:w="12" w:type="dxa"/>
        </w:tblCellMar>
      </w:tblPr>
      <w:tblGrid>
        <w:gridCol w:w="532"/>
        <w:gridCol w:w="3064"/>
        <w:gridCol w:w="6154"/>
      </w:tblGrid>
      <w:tr w14:paraId="7AC73EE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2"/>
            <w:tcBorders>
              <w:top w:val="single" w:color="auto" w:sz="2" w:space="0"/>
              <w:left w:val="single" w:color="auto" w:sz="2" w:space="0"/>
              <w:bottom w:val="single" w:color="auto" w:sz="2" w:space="0"/>
              <w:right w:val="single" w:color="auto" w:sz="2" w:space="0"/>
            </w:tcBorders>
            <w:vAlign w:val="center"/>
          </w:tcPr>
          <w:p w14:paraId="702E1E8B">
            <w:pPr>
              <w:rPr>
                <w:lang w:val="zh-CN"/>
              </w:rPr>
            </w:pPr>
            <w:r>
              <w:rPr>
                <w:b/>
                <w:bCs/>
                <w:lang w:val="zh-CN"/>
              </w:rPr>
              <w:t>Individual / AOP - Non Salaried</w:t>
            </w:r>
          </w:p>
        </w:tc>
        <w:tc>
          <w:tcPr>
            <w:tcW w:w="3465" w:type="dxa"/>
            <w:tcBorders>
              <w:top w:val="single" w:color="auto" w:sz="2" w:space="0"/>
              <w:left w:val="single" w:color="auto" w:sz="2" w:space="0"/>
              <w:bottom w:val="single" w:color="auto" w:sz="2" w:space="0"/>
              <w:right w:val="single" w:color="auto" w:sz="2" w:space="0"/>
            </w:tcBorders>
            <w:vAlign w:val="center"/>
          </w:tcPr>
          <w:p w14:paraId="3456A366">
            <w:pPr>
              <w:rPr>
                <w:lang w:val="zh-CN"/>
              </w:rPr>
            </w:pPr>
            <w:r>
              <w:rPr>
                <w:b/>
                <w:bCs/>
                <w:lang w:val="zh-CN"/>
              </w:rPr>
              <w:t>Sec. 18, Division I, Part I, First Schedule</w:t>
            </w:r>
          </w:p>
        </w:tc>
      </w:tr>
      <w:tr w14:paraId="2AC0DB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2"/>
            <w:tcBorders>
              <w:top w:val="single" w:color="auto" w:sz="2" w:space="0"/>
              <w:left w:val="single" w:color="auto" w:sz="2" w:space="0"/>
              <w:bottom w:val="single" w:color="auto" w:sz="2" w:space="0"/>
              <w:right w:val="single" w:color="auto" w:sz="2" w:space="0"/>
            </w:tcBorders>
            <w:vAlign w:val="center"/>
          </w:tcPr>
          <w:p w14:paraId="48C5A66C">
            <w:pPr>
              <w:rPr>
                <w:lang w:val="zh-CN"/>
              </w:rPr>
            </w:pPr>
            <w:r>
              <w:rPr>
                <w:b/>
                <w:bCs/>
                <w:lang w:val="zh-CN"/>
              </w:rPr>
              <w:t>Taxable Income (Rs)</w:t>
            </w:r>
          </w:p>
        </w:tc>
        <w:tc>
          <w:tcPr>
            <w:tcW w:w="3465" w:type="dxa"/>
            <w:tcBorders>
              <w:top w:val="single" w:color="auto" w:sz="2" w:space="0"/>
              <w:left w:val="single" w:color="auto" w:sz="2" w:space="0"/>
              <w:bottom w:val="single" w:color="auto" w:sz="2" w:space="0"/>
              <w:right w:val="single" w:color="auto" w:sz="2" w:space="0"/>
            </w:tcBorders>
            <w:vAlign w:val="center"/>
          </w:tcPr>
          <w:p w14:paraId="618E4A2F">
            <w:pPr>
              <w:rPr>
                <w:lang w:val="zh-CN"/>
              </w:rPr>
            </w:pPr>
            <w:r>
              <w:rPr>
                <w:b/>
                <w:bCs/>
                <w:lang w:val="zh-CN"/>
              </w:rPr>
              <w:t>Tax Rates</w:t>
            </w:r>
          </w:p>
        </w:tc>
      </w:tr>
      <w:tr w14:paraId="134991B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43BDCC99">
            <w:pPr>
              <w:rPr>
                <w:lang w:val="zh-CN"/>
              </w:rPr>
            </w:pPr>
            <w:r>
              <w:rPr>
                <w:lang w:val="zh-CN"/>
              </w:rPr>
              <w:t>1</w:t>
            </w:r>
          </w:p>
        </w:tc>
        <w:tc>
          <w:tcPr>
            <w:tcW w:w="1725" w:type="dxa"/>
            <w:tcBorders>
              <w:top w:val="single" w:color="auto" w:sz="2" w:space="0"/>
              <w:left w:val="single" w:color="auto" w:sz="2" w:space="0"/>
              <w:bottom w:val="single" w:color="auto" w:sz="2" w:space="0"/>
              <w:right w:val="single" w:color="auto" w:sz="2" w:space="0"/>
            </w:tcBorders>
            <w:vAlign w:val="center"/>
          </w:tcPr>
          <w:p w14:paraId="635EE418">
            <w:pPr>
              <w:rPr>
                <w:lang w:val="zh-CN"/>
              </w:rPr>
            </w:pPr>
            <w:r>
              <w:rPr>
                <w:lang w:val="zh-CN"/>
              </w:rPr>
              <w:t>Upto Rs. 400,000</w:t>
            </w:r>
          </w:p>
        </w:tc>
        <w:tc>
          <w:tcPr>
            <w:tcW w:w="3465" w:type="dxa"/>
            <w:tcBorders>
              <w:top w:val="single" w:color="auto" w:sz="2" w:space="0"/>
              <w:left w:val="single" w:color="auto" w:sz="2" w:space="0"/>
              <w:bottom w:val="single" w:color="auto" w:sz="2" w:space="0"/>
              <w:right w:val="single" w:color="auto" w:sz="2" w:space="0"/>
            </w:tcBorders>
            <w:vAlign w:val="center"/>
          </w:tcPr>
          <w:p w14:paraId="4A6156BE">
            <w:pPr>
              <w:rPr>
                <w:lang w:val="zh-CN"/>
              </w:rPr>
            </w:pPr>
            <w:r>
              <w:rPr>
                <w:lang w:val="zh-CN"/>
              </w:rPr>
              <w:t>NIL</w:t>
            </w:r>
          </w:p>
        </w:tc>
      </w:tr>
      <w:tr w14:paraId="03B5BF4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0866DE8A">
            <w:pPr>
              <w:rPr>
                <w:lang w:val="zh-CN"/>
              </w:rPr>
            </w:pPr>
            <w:r>
              <w:rPr>
                <w:lang w:val="zh-CN"/>
              </w:rPr>
              <w:t>2</w:t>
            </w:r>
          </w:p>
        </w:tc>
        <w:tc>
          <w:tcPr>
            <w:tcW w:w="1725" w:type="dxa"/>
            <w:tcBorders>
              <w:top w:val="single" w:color="auto" w:sz="2" w:space="0"/>
              <w:left w:val="single" w:color="auto" w:sz="2" w:space="0"/>
              <w:bottom w:val="single" w:color="auto" w:sz="2" w:space="0"/>
              <w:right w:val="single" w:color="auto" w:sz="2" w:space="0"/>
            </w:tcBorders>
            <w:vAlign w:val="center"/>
          </w:tcPr>
          <w:p w14:paraId="6D740030">
            <w:pPr>
              <w:rPr>
                <w:lang w:val="zh-CN"/>
              </w:rPr>
            </w:pPr>
            <w:r>
              <w:rPr>
                <w:lang w:val="zh-CN"/>
              </w:rPr>
              <w:t>Rs. 400,001 to Rs. 600,000</w:t>
            </w:r>
          </w:p>
        </w:tc>
        <w:tc>
          <w:tcPr>
            <w:tcW w:w="3465" w:type="dxa"/>
            <w:tcBorders>
              <w:top w:val="single" w:color="auto" w:sz="2" w:space="0"/>
              <w:left w:val="single" w:color="auto" w:sz="2" w:space="0"/>
              <w:bottom w:val="single" w:color="auto" w:sz="2" w:space="0"/>
              <w:right w:val="single" w:color="auto" w:sz="2" w:space="0"/>
            </w:tcBorders>
            <w:vAlign w:val="center"/>
          </w:tcPr>
          <w:p w14:paraId="16382A26">
            <w:pPr>
              <w:rPr>
                <w:lang w:val="zh-CN"/>
              </w:rPr>
            </w:pPr>
            <w:r>
              <w:rPr>
                <w:lang w:val="zh-CN"/>
              </w:rPr>
              <w:t>5% exceeding 400,000</w:t>
            </w:r>
          </w:p>
        </w:tc>
      </w:tr>
      <w:tr w14:paraId="53FFEE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6E771D71">
            <w:pPr>
              <w:rPr>
                <w:lang w:val="zh-CN"/>
              </w:rPr>
            </w:pPr>
            <w:r>
              <w:rPr>
                <w:lang w:val="zh-CN"/>
              </w:rPr>
              <w:t>3</w:t>
            </w:r>
          </w:p>
        </w:tc>
        <w:tc>
          <w:tcPr>
            <w:tcW w:w="1725" w:type="dxa"/>
            <w:tcBorders>
              <w:top w:val="single" w:color="auto" w:sz="2" w:space="0"/>
              <w:left w:val="single" w:color="auto" w:sz="2" w:space="0"/>
              <w:bottom w:val="single" w:color="auto" w:sz="2" w:space="0"/>
              <w:right w:val="single" w:color="auto" w:sz="2" w:space="0"/>
            </w:tcBorders>
            <w:vAlign w:val="center"/>
          </w:tcPr>
          <w:p w14:paraId="6AB1696A">
            <w:pPr>
              <w:rPr>
                <w:lang w:val="zh-CN"/>
              </w:rPr>
            </w:pPr>
            <w:r>
              <w:rPr>
                <w:lang w:val="zh-CN"/>
              </w:rPr>
              <w:t>Rs. 600,001 to Rs. 1,200,000</w:t>
            </w:r>
          </w:p>
        </w:tc>
        <w:tc>
          <w:tcPr>
            <w:tcW w:w="3465" w:type="dxa"/>
            <w:tcBorders>
              <w:top w:val="single" w:color="auto" w:sz="2" w:space="0"/>
              <w:left w:val="single" w:color="auto" w:sz="2" w:space="0"/>
              <w:bottom w:val="single" w:color="auto" w:sz="2" w:space="0"/>
              <w:right w:val="single" w:color="auto" w:sz="2" w:space="0"/>
            </w:tcBorders>
            <w:vAlign w:val="center"/>
          </w:tcPr>
          <w:p w14:paraId="332600F8">
            <w:pPr>
              <w:rPr>
                <w:lang w:val="zh-CN"/>
              </w:rPr>
            </w:pPr>
            <w:r>
              <w:rPr>
                <w:lang w:val="zh-CN"/>
              </w:rPr>
              <w:t>10,000 + 10% exceeding 600,000</w:t>
            </w:r>
          </w:p>
        </w:tc>
      </w:tr>
      <w:tr w14:paraId="24FB3AE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1C6ABE9D">
            <w:pPr>
              <w:rPr>
                <w:lang w:val="zh-CN"/>
              </w:rPr>
            </w:pPr>
            <w:r>
              <w:rPr>
                <w:lang w:val="zh-CN"/>
              </w:rPr>
              <w:t>4</w:t>
            </w:r>
          </w:p>
        </w:tc>
        <w:tc>
          <w:tcPr>
            <w:tcW w:w="1725" w:type="dxa"/>
            <w:tcBorders>
              <w:top w:val="single" w:color="auto" w:sz="2" w:space="0"/>
              <w:left w:val="single" w:color="auto" w:sz="2" w:space="0"/>
              <w:bottom w:val="single" w:color="auto" w:sz="2" w:space="0"/>
              <w:right w:val="single" w:color="auto" w:sz="2" w:space="0"/>
            </w:tcBorders>
            <w:vAlign w:val="center"/>
          </w:tcPr>
          <w:p w14:paraId="461F5FE8">
            <w:pPr>
              <w:rPr>
                <w:lang w:val="zh-CN"/>
              </w:rPr>
            </w:pPr>
            <w:r>
              <w:rPr>
                <w:lang w:val="zh-CN"/>
              </w:rPr>
              <w:t>Rs. 1,200,001 to Rs. 2,400,000</w:t>
            </w:r>
          </w:p>
        </w:tc>
        <w:tc>
          <w:tcPr>
            <w:tcW w:w="3465" w:type="dxa"/>
            <w:tcBorders>
              <w:top w:val="single" w:color="auto" w:sz="2" w:space="0"/>
              <w:left w:val="single" w:color="auto" w:sz="2" w:space="0"/>
              <w:bottom w:val="single" w:color="auto" w:sz="2" w:space="0"/>
              <w:right w:val="single" w:color="auto" w:sz="2" w:space="0"/>
            </w:tcBorders>
            <w:vAlign w:val="center"/>
          </w:tcPr>
          <w:p w14:paraId="3CAF1D13">
            <w:pPr>
              <w:rPr>
                <w:lang w:val="zh-CN"/>
              </w:rPr>
            </w:pPr>
            <w:r>
              <w:rPr>
                <w:lang w:val="zh-CN"/>
              </w:rPr>
              <w:t>70,000 + 15% exceeding 1,200,000</w:t>
            </w:r>
          </w:p>
        </w:tc>
      </w:tr>
      <w:tr w14:paraId="445045C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55101B1E">
            <w:pPr>
              <w:rPr>
                <w:lang w:val="zh-CN"/>
              </w:rPr>
            </w:pPr>
            <w:r>
              <w:rPr>
                <w:lang w:val="zh-CN"/>
              </w:rPr>
              <w:t>5</w:t>
            </w:r>
          </w:p>
        </w:tc>
        <w:tc>
          <w:tcPr>
            <w:tcW w:w="1725" w:type="dxa"/>
            <w:tcBorders>
              <w:top w:val="single" w:color="auto" w:sz="2" w:space="0"/>
              <w:left w:val="single" w:color="auto" w:sz="2" w:space="0"/>
              <w:bottom w:val="single" w:color="auto" w:sz="2" w:space="0"/>
              <w:right w:val="single" w:color="auto" w:sz="2" w:space="0"/>
            </w:tcBorders>
            <w:vAlign w:val="center"/>
          </w:tcPr>
          <w:p w14:paraId="65ED2E41">
            <w:pPr>
              <w:rPr>
                <w:lang w:val="zh-CN"/>
              </w:rPr>
            </w:pPr>
            <w:r>
              <w:rPr>
                <w:lang w:val="zh-CN"/>
              </w:rPr>
              <w:t>Rs. 2,400,001 to Rs. 3,000,000</w:t>
            </w:r>
          </w:p>
        </w:tc>
        <w:tc>
          <w:tcPr>
            <w:tcW w:w="3465" w:type="dxa"/>
            <w:tcBorders>
              <w:top w:val="single" w:color="auto" w:sz="2" w:space="0"/>
              <w:left w:val="single" w:color="auto" w:sz="2" w:space="0"/>
              <w:bottom w:val="single" w:color="auto" w:sz="2" w:space="0"/>
              <w:right w:val="single" w:color="auto" w:sz="2" w:space="0"/>
            </w:tcBorders>
            <w:vAlign w:val="center"/>
          </w:tcPr>
          <w:p w14:paraId="57146414">
            <w:pPr>
              <w:rPr>
                <w:lang w:val="zh-CN"/>
              </w:rPr>
            </w:pPr>
            <w:r>
              <w:rPr>
                <w:lang w:val="zh-CN"/>
              </w:rPr>
              <w:t>250,000 + 20% exceeding 2,400,000</w:t>
            </w:r>
          </w:p>
        </w:tc>
      </w:tr>
      <w:tr w14:paraId="6583C72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5690EBEE">
            <w:pPr>
              <w:rPr>
                <w:lang w:val="zh-CN"/>
              </w:rPr>
            </w:pPr>
            <w:r>
              <w:rPr>
                <w:lang w:val="zh-CN"/>
              </w:rPr>
              <w:t>6</w:t>
            </w:r>
          </w:p>
        </w:tc>
        <w:tc>
          <w:tcPr>
            <w:tcW w:w="1725" w:type="dxa"/>
            <w:tcBorders>
              <w:top w:val="single" w:color="auto" w:sz="2" w:space="0"/>
              <w:left w:val="single" w:color="auto" w:sz="2" w:space="0"/>
              <w:bottom w:val="single" w:color="auto" w:sz="2" w:space="0"/>
              <w:right w:val="single" w:color="auto" w:sz="2" w:space="0"/>
            </w:tcBorders>
            <w:vAlign w:val="center"/>
          </w:tcPr>
          <w:p w14:paraId="10B7FC1B">
            <w:pPr>
              <w:rPr>
                <w:lang w:val="zh-CN"/>
              </w:rPr>
            </w:pPr>
            <w:r>
              <w:rPr>
                <w:lang w:val="zh-CN"/>
              </w:rPr>
              <w:t>Rs. 3,000,001 to Rs. 4,000,000</w:t>
            </w:r>
          </w:p>
        </w:tc>
        <w:tc>
          <w:tcPr>
            <w:tcW w:w="3465" w:type="dxa"/>
            <w:tcBorders>
              <w:top w:val="single" w:color="auto" w:sz="2" w:space="0"/>
              <w:left w:val="single" w:color="auto" w:sz="2" w:space="0"/>
              <w:bottom w:val="single" w:color="auto" w:sz="2" w:space="0"/>
              <w:right w:val="single" w:color="auto" w:sz="2" w:space="0"/>
            </w:tcBorders>
            <w:vAlign w:val="center"/>
          </w:tcPr>
          <w:p w14:paraId="7D4F47D6">
            <w:pPr>
              <w:rPr>
                <w:lang w:val="zh-CN"/>
              </w:rPr>
            </w:pPr>
            <w:r>
              <w:rPr>
                <w:lang w:val="zh-CN"/>
              </w:rPr>
              <w:t>370,000 + 25% exceeding 3,000,000</w:t>
            </w:r>
          </w:p>
        </w:tc>
      </w:tr>
      <w:tr w14:paraId="4D4C3DE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0B7B8739">
            <w:pPr>
              <w:rPr>
                <w:lang w:val="zh-CN"/>
              </w:rPr>
            </w:pPr>
            <w:r>
              <w:rPr>
                <w:lang w:val="zh-CN"/>
              </w:rPr>
              <w:t>7</w:t>
            </w:r>
          </w:p>
        </w:tc>
        <w:tc>
          <w:tcPr>
            <w:tcW w:w="1725" w:type="dxa"/>
            <w:tcBorders>
              <w:top w:val="single" w:color="auto" w:sz="2" w:space="0"/>
              <w:left w:val="single" w:color="auto" w:sz="2" w:space="0"/>
              <w:bottom w:val="single" w:color="auto" w:sz="2" w:space="0"/>
              <w:right w:val="single" w:color="auto" w:sz="2" w:space="0"/>
            </w:tcBorders>
            <w:vAlign w:val="center"/>
          </w:tcPr>
          <w:p w14:paraId="1CFF52B3">
            <w:pPr>
              <w:rPr>
                <w:lang w:val="zh-CN"/>
              </w:rPr>
            </w:pPr>
            <w:r>
              <w:rPr>
                <w:lang w:val="zh-CN"/>
              </w:rPr>
              <w:t>Rs. 4,000,001 to Rs. 6,000,000</w:t>
            </w:r>
          </w:p>
        </w:tc>
        <w:tc>
          <w:tcPr>
            <w:tcW w:w="3465" w:type="dxa"/>
            <w:tcBorders>
              <w:top w:val="single" w:color="auto" w:sz="2" w:space="0"/>
              <w:left w:val="single" w:color="auto" w:sz="2" w:space="0"/>
              <w:bottom w:val="single" w:color="auto" w:sz="2" w:space="0"/>
              <w:right w:val="single" w:color="auto" w:sz="2" w:space="0"/>
            </w:tcBorders>
            <w:vAlign w:val="center"/>
          </w:tcPr>
          <w:p w14:paraId="0A147153">
            <w:pPr>
              <w:rPr>
                <w:lang w:val="zh-CN"/>
              </w:rPr>
            </w:pPr>
            <w:r>
              <w:rPr>
                <w:lang w:val="zh-CN"/>
              </w:rPr>
              <w:t>620,000 + 30% exceeding 4,000,000</w:t>
            </w:r>
          </w:p>
        </w:tc>
      </w:tr>
      <w:tr w14:paraId="74EDBD1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00EF2B46">
            <w:pPr>
              <w:rPr>
                <w:lang w:val="zh-CN"/>
              </w:rPr>
            </w:pPr>
            <w:r>
              <w:rPr>
                <w:lang w:val="zh-CN"/>
              </w:rPr>
              <w:t>8</w:t>
            </w:r>
          </w:p>
        </w:tc>
        <w:tc>
          <w:tcPr>
            <w:tcW w:w="1725" w:type="dxa"/>
            <w:tcBorders>
              <w:top w:val="single" w:color="auto" w:sz="2" w:space="0"/>
              <w:left w:val="single" w:color="auto" w:sz="2" w:space="0"/>
              <w:bottom w:val="single" w:color="auto" w:sz="2" w:space="0"/>
              <w:right w:val="single" w:color="auto" w:sz="2" w:space="0"/>
            </w:tcBorders>
            <w:vAlign w:val="center"/>
          </w:tcPr>
          <w:p w14:paraId="725BCEEE">
            <w:pPr>
              <w:rPr>
                <w:lang w:val="zh-CN"/>
              </w:rPr>
            </w:pPr>
            <w:r>
              <w:rPr>
                <w:lang w:val="zh-CN"/>
              </w:rPr>
              <w:t>Above 6,000,000</w:t>
            </w:r>
          </w:p>
        </w:tc>
        <w:tc>
          <w:tcPr>
            <w:tcW w:w="3465" w:type="dxa"/>
            <w:tcBorders>
              <w:top w:val="single" w:color="auto" w:sz="2" w:space="0"/>
              <w:left w:val="single" w:color="auto" w:sz="2" w:space="0"/>
              <w:bottom w:val="single" w:color="auto" w:sz="2" w:space="0"/>
              <w:right w:val="single" w:color="auto" w:sz="2" w:space="0"/>
            </w:tcBorders>
            <w:vAlign w:val="center"/>
          </w:tcPr>
          <w:p w14:paraId="471E6AA3">
            <w:pPr>
              <w:rPr>
                <w:lang w:val="zh-CN"/>
              </w:rPr>
            </w:pPr>
            <w:r>
              <w:rPr>
                <w:lang w:val="zh-CN"/>
              </w:rPr>
              <w:t>1,220,000 + 35% exceeding 6,000,000</w:t>
            </w:r>
          </w:p>
        </w:tc>
      </w:tr>
    </w:tbl>
    <w:p w14:paraId="5F7B0473">
      <w:pPr>
        <w:rPr>
          <w:lang w:val="zh-CN"/>
        </w:rPr>
      </w:pPr>
      <w:r>
        <w:rPr>
          <w:lang w:val="zh-CN"/>
        </w:rPr>
        <w:pict>
          <v:rect id="_x0000_i1026" o:spt="1" style="height:1.5pt;width:0pt;" fillcolor="#A0A0A0" filled="t" stroked="f" coordsize="21600,21600" o:hr="t" o:hrstd="t" o:hralign="center">
            <v:path/>
            <v:fill on="t" focussize="0,0"/>
            <v:stroke on="f"/>
            <v:imagedata o:title=""/>
            <o:lock v:ext="edit"/>
            <w10:wrap type="none"/>
            <w10:anchorlock/>
          </v:rect>
        </w:pict>
      </w:r>
    </w:p>
    <w:p w14:paraId="0D669083">
      <w:pPr>
        <w:rPr>
          <w:lang w:val="zh-CN"/>
        </w:rPr>
      </w:pPr>
      <w:r>
        <w:rPr>
          <w:b/>
          <w:bCs/>
          <w:lang w:val="zh-CN"/>
        </w:rPr>
        <w:t>RENT OF IMMOVABLE PROPERTIES (Adjustable)</w:t>
      </w:r>
      <w:r>
        <w:rPr>
          <w:b/>
          <w:bCs/>
          <w:lang w:val="zh-CN"/>
        </w:rPr>
        <w:br w:type="textWrapping"/>
      </w:r>
      <w:r>
        <w:rPr>
          <w:b/>
          <w:bCs/>
          <w:lang w:val="zh-CN"/>
        </w:rPr>
        <w:t>Section 15 155 - Division V, Part III, First Schedule</w:t>
      </w:r>
    </w:p>
    <w:tbl>
      <w:tblPr>
        <w:tblStyle w:val="12"/>
        <w:tblW w:w="975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2" w:type="dxa"/>
          <w:left w:w="12" w:type="dxa"/>
          <w:bottom w:w="12" w:type="dxa"/>
          <w:right w:w="12" w:type="dxa"/>
        </w:tblCellMar>
      </w:tblPr>
      <w:tblGrid>
        <w:gridCol w:w="532"/>
        <w:gridCol w:w="3064"/>
        <w:gridCol w:w="6154"/>
      </w:tblGrid>
      <w:tr w14:paraId="73204DD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3"/>
            <w:tcBorders>
              <w:top w:val="single" w:color="auto" w:sz="2" w:space="0"/>
              <w:left w:val="single" w:color="auto" w:sz="2" w:space="0"/>
              <w:bottom w:val="single" w:color="auto" w:sz="2" w:space="0"/>
              <w:right w:val="single" w:color="auto" w:sz="2" w:space="0"/>
            </w:tcBorders>
            <w:vAlign w:val="center"/>
          </w:tcPr>
          <w:p w14:paraId="32C2B82C">
            <w:pPr>
              <w:rPr>
                <w:lang w:val="zh-CN"/>
              </w:rPr>
            </w:pPr>
            <w:r>
              <w:rPr>
                <w:lang w:val="zh-CN"/>
              </w:rPr>
              <w:t>Government (Federal, Provincial, local), Company, NPO, diplomatic mission of a foreign state, private educational institution, boutique, beauty parlour, hospital, clinic or maternity home other Ind/AOP paying rent Rs. 1,500,000 or more deduct tax as follows:</w:t>
            </w:r>
          </w:p>
        </w:tc>
      </w:tr>
      <w:tr w14:paraId="3E7D6F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2"/>
            <w:tcBorders>
              <w:top w:val="single" w:color="auto" w:sz="2" w:space="0"/>
              <w:left w:val="single" w:color="auto" w:sz="2" w:space="0"/>
              <w:bottom w:val="single" w:color="auto" w:sz="2" w:space="0"/>
              <w:right w:val="single" w:color="auto" w:sz="2" w:space="0"/>
            </w:tcBorders>
            <w:vAlign w:val="center"/>
          </w:tcPr>
          <w:p w14:paraId="39582E57">
            <w:pPr>
              <w:rPr>
                <w:lang w:val="zh-CN"/>
              </w:rPr>
            </w:pPr>
            <w:r>
              <w:rPr>
                <w:b/>
                <w:bCs/>
                <w:lang w:val="zh-CN"/>
              </w:rPr>
              <w:t>Taxable Income (Individual/AOP)</w:t>
            </w:r>
          </w:p>
        </w:tc>
        <w:tc>
          <w:tcPr>
            <w:tcW w:w="3465" w:type="dxa"/>
            <w:tcBorders>
              <w:top w:val="single" w:color="auto" w:sz="2" w:space="0"/>
              <w:left w:val="single" w:color="auto" w:sz="2" w:space="0"/>
              <w:bottom w:val="single" w:color="auto" w:sz="2" w:space="0"/>
              <w:right w:val="single" w:color="auto" w:sz="2" w:space="0"/>
            </w:tcBorders>
            <w:vAlign w:val="center"/>
          </w:tcPr>
          <w:p w14:paraId="06F6A0A4">
            <w:pPr>
              <w:rPr>
                <w:lang w:val="zh-CN"/>
              </w:rPr>
            </w:pPr>
            <w:r>
              <w:rPr>
                <w:b/>
                <w:bCs/>
                <w:lang w:val="zh-CN"/>
              </w:rPr>
              <w:t>Rate of withholding tax</w:t>
            </w:r>
          </w:p>
        </w:tc>
      </w:tr>
      <w:tr w14:paraId="4C2CD29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6D31E6E2">
            <w:pPr>
              <w:rPr>
                <w:lang w:val="zh-CN"/>
              </w:rPr>
            </w:pPr>
            <w:r>
              <w:rPr>
                <w:lang w:val="zh-CN"/>
              </w:rPr>
              <w:t>1</w:t>
            </w:r>
          </w:p>
        </w:tc>
        <w:tc>
          <w:tcPr>
            <w:tcW w:w="1725" w:type="dxa"/>
            <w:tcBorders>
              <w:top w:val="single" w:color="auto" w:sz="2" w:space="0"/>
              <w:left w:val="single" w:color="auto" w:sz="2" w:space="0"/>
              <w:bottom w:val="single" w:color="auto" w:sz="2" w:space="0"/>
              <w:right w:val="single" w:color="auto" w:sz="2" w:space="0"/>
            </w:tcBorders>
            <w:vAlign w:val="center"/>
          </w:tcPr>
          <w:p w14:paraId="2E735E4B">
            <w:pPr>
              <w:rPr>
                <w:lang w:val="zh-CN"/>
              </w:rPr>
            </w:pPr>
            <w:r>
              <w:rPr>
                <w:lang w:val="zh-CN"/>
              </w:rPr>
              <w:t>Upto Rs. 200,000</w:t>
            </w:r>
          </w:p>
        </w:tc>
        <w:tc>
          <w:tcPr>
            <w:tcW w:w="3465" w:type="dxa"/>
            <w:tcBorders>
              <w:top w:val="single" w:color="auto" w:sz="2" w:space="0"/>
              <w:left w:val="single" w:color="auto" w:sz="2" w:space="0"/>
              <w:bottom w:val="single" w:color="auto" w:sz="2" w:space="0"/>
              <w:right w:val="single" w:color="auto" w:sz="2" w:space="0"/>
            </w:tcBorders>
            <w:vAlign w:val="center"/>
          </w:tcPr>
          <w:p w14:paraId="1AF53632">
            <w:pPr>
              <w:rPr>
                <w:lang w:val="zh-CN"/>
              </w:rPr>
            </w:pPr>
            <w:r>
              <w:rPr>
                <w:lang w:val="zh-CN"/>
              </w:rPr>
              <w:t>0%</w:t>
            </w:r>
          </w:p>
        </w:tc>
      </w:tr>
      <w:tr w14:paraId="01759EF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6E96B334">
            <w:pPr>
              <w:rPr>
                <w:lang w:val="zh-CN"/>
              </w:rPr>
            </w:pPr>
            <w:r>
              <w:rPr>
                <w:lang w:val="zh-CN"/>
              </w:rPr>
              <w:t>2</w:t>
            </w:r>
          </w:p>
        </w:tc>
        <w:tc>
          <w:tcPr>
            <w:tcW w:w="1725" w:type="dxa"/>
            <w:tcBorders>
              <w:top w:val="single" w:color="auto" w:sz="2" w:space="0"/>
              <w:left w:val="single" w:color="auto" w:sz="2" w:space="0"/>
              <w:bottom w:val="single" w:color="auto" w:sz="2" w:space="0"/>
              <w:right w:val="single" w:color="auto" w:sz="2" w:space="0"/>
            </w:tcBorders>
            <w:vAlign w:val="center"/>
          </w:tcPr>
          <w:p w14:paraId="2665CA61">
            <w:pPr>
              <w:rPr>
                <w:lang w:val="zh-CN"/>
              </w:rPr>
            </w:pPr>
            <w:r>
              <w:rPr>
                <w:lang w:val="zh-CN"/>
              </w:rPr>
              <w:t>Rs. 200,001 to Rs. 600,000</w:t>
            </w:r>
          </w:p>
        </w:tc>
        <w:tc>
          <w:tcPr>
            <w:tcW w:w="3465" w:type="dxa"/>
            <w:tcBorders>
              <w:top w:val="single" w:color="auto" w:sz="2" w:space="0"/>
              <w:left w:val="single" w:color="auto" w:sz="2" w:space="0"/>
              <w:bottom w:val="single" w:color="auto" w:sz="2" w:space="0"/>
              <w:right w:val="single" w:color="auto" w:sz="2" w:space="0"/>
            </w:tcBorders>
            <w:vAlign w:val="center"/>
          </w:tcPr>
          <w:p w14:paraId="2A11A1B6">
            <w:pPr>
              <w:rPr>
                <w:lang w:val="zh-CN"/>
              </w:rPr>
            </w:pPr>
            <w:r>
              <w:rPr>
                <w:lang w:val="zh-CN"/>
              </w:rPr>
              <w:t>5% exceeding 200,000</w:t>
            </w:r>
          </w:p>
        </w:tc>
      </w:tr>
      <w:tr w14:paraId="694FF8D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1860D130">
            <w:pPr>
              <w:rPr>
                <w:lang w:val="zh-CN"/>
              </w:rPr>
            </w:pPr>
            <w:r>
              <w:rPr>
                <w:lang w:val="zh-CN"/>
              </w:rPr>
              <w:t>3</w:t>
            </w:r>
          </w:p>
        </w:tc>
        <w:tc>
          <w:tcPr>
            <w:tcW w:w="1725" w:type="dxa"/>
            <w:tcBorders>
              <w:top w:val="single" w:color="auto" w:sz="2" w:space="0"/>
              <w:left w:val="single" w:color="auto" w:sz="2" w:space="0"/>
              <w:bottom w:val="single" w:color="auto" w:sz="2" w:space="0"/>
              <w:right w:val="single" w:color="auto" w:sz="2" w:space="0"/>
            </w:tcBorders>
            <w:vAlign w:val="center"/>
          </w:tcPr>
          <w:p w14:paraId="5545D549">
            <w:pPr>
              <w:rPr>
                <w:lang w:val="zh-CN"/>
              </w:rPr>
            </w:pPr>
            <w:r>
              <w:rPr>
                <w:lang w:val="zh-CN"/>
              </w:rPr>
              <w:t>Rs. 600,001 to Rs. 1,000,000</w:t>
            </w:r>
          </w:p>
        </w:tc>
        <w:tc>
          <w:tcPr>
            <w:tcW w:w="3465" w:type="dxa"/>
            <w:tcBorders>
              <w:top w:val="single" w:color="auto" w:sz="2" w:space="0"/>
              <w:left w:val="single" w:color="auto" w:sz="2" w:space="0"/>
              <w:bottom w:val="single" w:color="auto" w:sz="2" w:space="0"/>
              <w:right w:val="single" w:color="auto" w:sz="2" w:space="0"/>
            </w:tcBorders>
            <w:vAlign w:val="center"/>
          </w:tcPr>
          <w:p w14:paraId="7314355C">
            <w:pPr>
              <w:rPr>
                <w:lang w:val="zh-CN"/>
              </w:rPr>
            </w:pPr>
            <w:r>
              <w:rPr>
                <w:lang w:val="zh-CN"/>
              </w:rPr>
              <w:t>20,000 + 10% exceeding 600,000</w:t>
            </w:r>
          </w:p>
        </w:tc>
      </w:tr>
      <w:tr w14:paraId="56A4994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3C0B2C99">
            <w:pPr>
              <w:rPr>
                <w:lang w:val="zh-CN"/>
              </w:rPr>
            </w:pPr>
            <w:r>
              <w:rPr>
                <w:lang w:val="zh-CN"/>
              </w:rPr>
              <w:t>4</w:t>
            </w:r>
          </w:p>
        </w:tc>
        <w:tc>
          <w:tcPr>
            <w:tcW w:w="1725" w:type="dxa"/>
            <w:tcBorders>
              <w:top w:val="single" w:color="auto" w:sz="2" w:space="0"/>
              <w:left w:val="single" w:color="auto" w:sz="2" w:space="0"/>
              <w:bottom w:val="single" w:color="auto" w:sz="2" w:space="0"/>
              <w:right w:val="single" w:color="auto" w:sz="2" w:space="0"/>
            </w:tcBorders>
            <w:vAlign w:val="center"/>
          </w:tcPr>
          <w:p w14:paraId="13BABC28">
            <w:pPr>
              <w:rPr>
                <w:lang w:val="zh-CN"/>
              </w:rPr>
            </w:pPr>
            <w:r>
              <w:rPr>
                <w:lang w:val="zh-CN"/>
              </w:rPr>
              <w:t>Rs. 1,000,001 to Rs. 2,000,000</w:t>
            </w:r>
          </w:p>
        </w:tc>
        <w:tc>
          <w:tcPr>
            <w:tcW w:w="3465" w:type="dxa"/>
            <w:tcBorders>
              <w:top w:val="single" w:color="auto" w:sz="2" w:space="0"/>
              <w:left w:val="single" w:color="auto" w:sz="2" w:space="0"/>
              <w:bottom w:val="single" w:color="auto" w:sz="2" w:space="0"/>
              <w:right w:val="single" w:color="auto" w:sz="2" w:space="0"/>
            </w:tcBorders>
            <w:vAlign w:val="center"/>
          </w:tcPr>
          <w:p w14:paraId="7DD10473">
            <w:pPr>
              <w:rPr>
                <w:lang w:val="zh-CN"/>
              </w:rPr>
            </w:pPr>
            <w:r>
              <w:rPr>
                <w:lang w:val="zh-CN"/>
              </w:rPr>
              <w:t>60,000 + 15% exceeding 1,000,000</w:t>
            </w:r>
          </w:p>
        </w:tc>
      </w:tr>
      <w:tr w14:paraId="4C170EC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0399090C">
            <w:pPr>
              <w:rPr>
                <w:lang w:val="zh-CN"/>
              </w:rPr>
            </w:pPr>
            <w:r>
              <w:rPr>
                <w:lang w:val="zh-CN"/>
              </w:rPr>
              <w:t>5</w:t>
            </w:r>
          </w:p>
        </w:tc>
        <w:tc>
          <w:tcPr>
            <w:tcW w:w="1725" w:type="dxa"/>
            <w:tcBorders>
              <w:top w:val="single" w:color="auto" w:sz="2" w:space="0"/>
              <w:left w:val="single" w:color="auto" w:sz="2" w:space="0"/>
              <w:bottom w:val="single" w:color="auto" w:sz="2" w:space="0"/>
              <w:right w:val="single" w:color="auto" w:sz="2" w:space="0"/>
            </w:tcBorders>
            <w:vAlign w:val="center"/>
          </w:tcPr>
          <w:p w14:paraId="20FCB314">
            <w:pPr>
              <w:rPr>
                <w:lang w:val="zh-CN"/>
              </w:rPr>
            </w:pPr>
            <w:r>
              <w:rPr>
                <w:lang w:val="zh-CN"/>
              </w:rPr>
              <w:t>Rs. 2,000,001 to Rs. 4,000,000</w:t>
            </w:r>
          </w:p>
        </w:tc>
        <w:tc>
          <w:tcPr>
            <w:tcW w:w="3465" w:type="dxa"/>
            <w:tcBorders>
              <w:top w:val="single" w:color="auto" w:sz="2" w:space="0"/>
              <w:left w:val="single" w:color="auto" w:sz="2" w:space="0"/>
              <w:bottom w:val="single" w:color="auto" w:sz="2" w:space="0"/>
              <w:right w:val="single" w:color="auto" w:sz="2" w:space="0"/>
            </w:tcBorders>
            <w:vAlign w:val="center"/>
          </w:tcPr>
          <w:p w14:paraId="196ED611">
            <w:pPr>
              <w:rPr>
                <w:lang w:val="zh-CN"/>
              </w:rPr>
            </w:pPr>
            <w:r>
              <w:rPr>
                <w:lang w:val="zh-CN"/>
              </w:rPr>
              <w:t>210,000 + 20% exceeding 2,000,000</w:t>
            </w:r>
          </w:p>
        </w:tc>
      </w:tr>
      <w:tr w14:paraId="1D683C8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2BA003BA">
            <w:pPr>
              <w:rPr>
                <w:lang w:val="zh-CN"/>
              </w:rPr>
            </w:pPr>
            <w:r>
              <w:rPr>
                <w:lang w:val="zh-CN"/>
              </w:rPr>
              <w:t>6</w:t>
            </w:r>
          </w:p>
        </w:tc>
        <w:tc>
          <w:tcPr>
            <w:tcW w:w="1725" w:type="dxa"/>
            <w:tcBorders>
              <w:top w:val="single" w:color="auto" w:sz="2" w:space="0"/>
              <w:left w:val="single" w:color="auto" w:sz="2" w:space="0"/>
              <w:bottom w:val="single" w:color="auto" w:sz="2" w:space="0"/>
              <w:right w:val="single" w:color="auto" w:sz="2" w:space="0"/>
            </w:tcBorders>
            <w:vAlign w:val="center"/>
          </w:tcPr>
          <w:p w14:paraId="34BBB8F5">
            <w:pPr>
              <w:rPr>
                <w:lang w:val="zh-CN"/>
              </w:rPr>
            </w:pPr>
            <w:r>
              <w:rPr>
                <w:lang w:val="zh-CN"/>
              </w:rPr>
              <w:t>Rs. 4,000,001 to Rs. 6,000,000</w:t>
            </w:r>
          </w:p>
        </w:tc>
        <w:tc>
          <w:tcPr>
            <w:tcW w:w="3465" w:type="dxa"/>
            <w:tcBorders>
              <w:top w:val="single" w:color="auto" w:sz="2" w:space="0"/>
              <w:left w:val="single" w:color="auto" w:sz="2" w:space="0"/>
              <w:bottom w:val="single" w:color="auto" w:sz="2" w:space="0"/>
              <w:right w:val="single" w:color="auto" w:sz="2" w:space="0"/>
            </w:tcBorders>
            <w:vAlign w:val="center"/>
          </w:tcPr>
          <w:p w14:paraId="20B3664C">
            <w:pPr>
              <w:rPr>
                <w:lang w:val="zh-CN"/>
              </w:rPr>
            </w:pPr>
            <w:r>
              <w:rPr>
                <w:lang w:val="zh-CN"/>
              </w:rPr>
              <w:t>610,000 + 25% exceeding 4,000,000</w:t>
            </w:r>
          </w:p>
        </w:tc>
      </w:tr>
      <w:tr w14:paraId="61ADC22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42E7462F">
            <w:pPr>
              <w:rPr>
                <w:lang w:val="zh-CN"/>
              </w:rPr>
            </w:pPr>
            <w:r>
              <w:rPr>
                <w:lang w:val="zh-CN"/>
              </w:rPr>
              <w:t>7</w:t>
            </w:r>
          </w:p>
        </w:tc>
        <w:tc>
          <w:tcPr>
            <w:tcW w:w="1725" w:type="dxa"/>
            <w:tcBorders>
              <w:top w:val="single" w:color="auto" w:sz="2" w:space="0"/>
              <w:left w:val="single" w:color="auto" w:sz="2" w:space="0"/>
              <w:bottom w:val="single" w:color="auto" w:sz="2" w:space="0"/>
              <w:right w:val="single" w:color="auto" w:sz="2" w:space="0"/>
            </w:tcBorders>
            <w:vAlign w:val="center"/>
          </w:tcPr>
          <w:p w14:paraId="3D7C60ED">
            <w:pPr>
              <w:rPr>
                <w:lang w:val="zh-CN"/>
              </w:rPr>
            </w:pPr>
            <w:r>
              <w:rPr>
                <w:lang w:val="zh-CN"/>
              </w:rPr>
              <w:t>Rs. 6,000,001 to Rs. 8,000,000</w:t>
            </w:r>
          </w:p>
        </w:tc>
        <w:tc>
          <w:tcPr>
            <w:tcW w:w="3465" w:type="dxa"/>
            <w:tcBorders>
              <w:top w:val="single" w:color="auto" w:sz="2" w:space="0"/>
              <w:left w:val="single" w:color="auto" w:sz="2" w:space="0"/>
              <w:bottom w:val="single" w:color="auto" w:sz="2" w:space="0"/>
              <w:right w:val="single" w:color="auto" w:sz="2" w:space="0"/>
            </w:tcBorders>
            <w:vAlign w:val="center"/>
          </w:tcPr>
          <w:p w14:paraId="679F347E">
            <w:pPr>
              <w:rPr>
                <w:lang w:val="zh-CN"/>
              </w:rPr>
            </w:pPr>
            <w:r>
              <w:rPr>
                <w:lang w:val="zh-CN"/>
              </w:rPr>
              <w:t>1,110,000 + 30% exceeding 6,000,000</w:t>
            </w:r>
          </w:p>
        </w:tc>
      </w:tr>
      <w:tr w14:paraId="240F9E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61FE4016">
            <w:pPr>
              <w:rPr>
                <w:lang w:val="zh-CN"/>
              </w:rPr>
            </w:pPr>
            <w:r>
              <w:rPr>
                <w:lang w:val="zh-CN"/>
              </w:rPr>
              <w:t>8</w:t>
            </w:r>
          </w:p>
        </w:tc>
        <w:tc>
          <w:tcPr>
            <w:tcW w:w="1725" w:type="dxa"/>
            <w:tcBorders>
              <w:top w:val="single" w:color="auto" w:sz="2" w:space="0"/>
              <w:left w:val="single" w:color="auto" w:sz="2" w:space="0"/>
              <w:bottom w:val="single" w:color="auto" w:sz="2" w:space="0"/>
              <w:right w:val="single" w:color="auto" w:sz="2" w:space="0"/>
            </w:tcBorders>
            <w:vAlign w:val="center"/>
          </w:tcPr>
          <w:p w14:paraId="71ED77BD">
            <w:pPr>
              <w:rPr>
                <w:lang w:val="zh-CN"/>
              </w:rPr>
            </w:pPr>
            <w:r>
              <w:rPr>
                <w:lang w:val="zh-CN"/>
              </w:rPr>
              <w:t>Above 8,000,000</w:t>
            </w:r>
          </w:p>
        </w:tc>
        <w:tc>
          <w:tcPr>
            <w:tcW w:w="3465" w:type="dxa"/>
            <w:tcBorders>
              <w:top w:val="single" w:color="auto" w:sz="2" w:space="0"/>
              <w:left w:val="single" w:color="auto" w:sz="2" w:space="0"/>
              <w:bottom w:val="single" w:color="auto" w:sz="2" w:space="0"/>
              <w:right w:val="single" w:color="auto" w:sz="2" w:space="0"/>
            </w:tcBorders>
            <w:vAlign w:val="center"/>
          </w:tcPr>
          <w:p w14:paraId="3E176F24">
            <w:pPr>
              <w:rPr>
                <w:lang w:val="zh-CN"/>
              </w:rPr>
            </w:pPr>
            <w:r>
              <w:rPr>
                <w:lang w:val="zh-CN"/>
              </w:rPr>
              <w:t>1,710,000 + 35% exceeding 8,000,000</w:t>
            </w:r>
          </w:p>
        </w:tc>
      </w:tr>
      <w:tr w14:paraId="4168465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062F6119">
            <w:pPr>
              <w:rPr>
                <w:lang w:val="zh-CN"/>
              </w:rPr>
            </w:pPr>
            <w:r>
              <w:rPr>
                <w:lang w:val="zh-CN"/>
              </w:rPr>
              <w:t>9</w:t>
            </w:r>
          </w:p>
        </w:tc>
        <w:tc>
          <w:tcPr>
            <w:tcW w:w="1725" w:type="dxa"/>
            <w:tcBorders>
              <w:top w:val="single" w:color="auto" w:sz="2" w:space="0"/>
              <w:left w:val="single" w:color="auto" w:sz="2" w:space="0"/>
              <w:bottom w:val="single" w:color="auto" w:sz="2" w:space="0"/>
              <w:right w:val="single" w:color="auto" w:sz="2" w:space="0"/>
            </w:tcBorders>
            <w:vAlign w:val="center"/>
          </w:tcPr>
          <w:p w14:paraId="62AC9FAC">
            <w:pPr>
              <w:rPr>
                <w:lang w:val="zh-CN"/>
              </w:rPr>
            </w:pPr>
            <w:r>
              <w:rPr>
                <w:lang w:val="zh-CN"/>
              </w:rPr>
              <w:t>For Companies</w:t>
            </w:r>
          </w:p>
        </w:tc>
        <w:tc>
          <w:tcPr>
            <w:tcW w:w="3465" w:type="dxa"/>
            <w:tcBorders>
              <w:top w:val="single" w:color="auto" w:sz="2" w:space="0"/>
              <w:left w:val="single" w:color="auto" w:sz="2" w:space="0"/>
              <w:bottom w:val="single" w:color="auto" w:sz="2" w:space="0"/>
              <w:right w:val="single" w:color="auto" w:sz="2" w:space="0"/>
            </w:tcBorders>
            <w:vAlign w:val="center"/>
          </w:tcPr>
          <w:p w14:paraId="13766E0B">
            <w:pPr>
              <w:rPr>
                <w:lang w:val="zh-CN"/>
              </w:rPr>
            </w:pPr>
            <w:r>
              <w:rPr>
                <w:lang w:val="zh-CN"/>
              </w:rPr>
              <w:t>15% of gross rent</w:t>
            </w:r>
          </w:p>
        </w:tc>
      </w:tr>
    </w:tbl>
    <w:p w14:paraId="585EF668">
      <w:pPr>
        <w:rPr>
          <w:lang w:val="zh-CN"/>
        </w:rPr>
      </w:pPr>
      <w:r>
        <w:rPr>
          <w:lang w:val="zh-CN"/>
        </w:rPr>
        <w:pict>
          <v:rect id="_x0000_i1027" o:spt="1" style="height:1.5pt;width:0pt;" fillcolor="#A0A0A0" filled="t" stroked="f" coordsize="21600,21600" o:hr="t" o:hrstd="t" o:hralign="center">
            <v:path/>
            <v:fill on="t" focussize="0,0"/>
            <v:stroke on="f"/>
            <v:imagedata o:title=""/>
            <o:lock v:ext="edit"/>
            <w10:wrap type="none"/>
            <w10:anchorlock/>
          </v:rect>
        </w:pict>
      </w:r>
    </w:p>
    <w:tbl>
      <w:tblPr>
        <w:tblStyle w:val="12"/>
        <w:tblW w:w="975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2" w:type="dxa"/>
          <w:left w:w="12" w:type="dxa"/>
          <w:bottom w:w="12" w:type="dxa"/>
          <w:right w:w="12" w:type="dxa"/>
        </w:tblCellMar>
      </w:tblPr>
      <w:tblGrid>
        <w:gridCol w:w="4693"/>
        <w:gridCol w:w="1763"/>
        <w:gridCol w:w="1647"/>
        <w:gridCol w:w="1647"/>
      </w:tblGrid>
      <w:tr w14:paraId="5D8E883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4E1FD137">
            <w:pPr>
              <w:rPr>
                <w:lang w:val="zh-CN"/>
              </w:rPr>
            </w:pPr>
            <w:r>
              <w:rPr>
                <w:b/>
                <w:bCs/>
                <w:lang w:val="zh-CN"/>
              </w:rPr>
              <w:t>Withholding - Minimum Tax</w:t>
            </w:r>
          </w:p>
        </w:tc>
        <w:tc>
          <w:tcPr>
            <w:tcW w:w="1500" w:type="dxa"/>
            <w:tcBorders>
              <w:top w:val="single" w:color="auto" w:sz="2" w:space="0"/>
              <w:left w:val="single" w:color="auto" w:sz="2" w:space="0"/>
              <w:bottom w:val="single" w:color="auto" w:sz="2" w:space="0"/>
              <w:right w:val="single" w:color="auto" w:sz="2" w:space="0"/>
            </w:tcBorders>
            <w:vAlign w:val="center"/>
          </w:tcPr>
          <w:p w14:paraId="35AA183A">
            <w:pPr>
              <w:rPr>
                <w:lang w:val="zh-CN"/>
              </w:rPr>
            </w:pPr>
            <w:r>
              <w:rPr>
                <w:b/>
                <w:bCs/>
                <w:lang w:val="zh-CN"/>
              </w:rPr>
              <w:t>Section</w:t>
            </w:r>
          </w:p>
        </w:tc>
        <w:tc>
          <w:tcPr>
            <w:tcW w:w="1500" w:type="dxa"/>
            <w:tcBorders>
              <w:top w:val="single" w:color="auto" w:sz="2" w:space="0"/>
              <w:left w:val="single" w:color="auto" w:sz="2" w:space="0"/>
              <w:bottom w:val="single" w:color="auto" w:sz="2" w:space="0"/>
              <w:right w:val="single" w:color="auto" w:sz="2" w:space="0"/>
            </w:tcBorders>
            <w:vAlign w:val="center"/>
          </w:tcPr>
          <w:p w14:paraId="59703C77">
            <w:pPr>
              <w:rPr>
                <w:lang w:val="zh-CN"/>
              </w:rPr>
            </w:pPr>
            <w:r>
              <w:rPr>
                <w:b/>
                <w:bCs/>
                <w:lang w:val="zh-CN"/>
              </w:rPr>
              <w:t>ATL</w:t>
            </w:r>
          </w:p>
        </w:tc>
        <w:tc>
          <w:tcPr>
            <w:tcW w:w="1500" w:type="dxa"/>
            <w:tcBorders>
              <w:top w:val="single" w:color="auto" w:sz="2" w:space="0"/>
              <w:left w:val="single" w:color="auto" w:sz="2" w:space="0"/>
              <w:bottom w:val="single" w:color="auto" w:sz="2" w:space="0"/>
              <w:right w:val="single" w:color="auto" w:sz="2" w:space="0"/>
            </w:tcBorders>
            <w:vAlign w:val="center"/>
          </w:tcPr>
          <w:p w14:paraId="41CC8170">
            <w:pPr>
              <w:rPr>
                <w:lang w:val="zh-CN"/>
              </w:rPr>
            </w:pPr>
            <w:r>
              <w:rPr>
                <w:b/>
                <w:bCs/>
                <w:lang w:val="zh-CN"/>
              </w:rPr>
              <w:t>Non ATL</w:t>
            </w:r>
          </w:p>
        </w:tc>
      </w:tr>
      <w:tr w14:paraId="63077A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400CA0B7">
            <w:pPr>
              <w:rPr>
                <w:lang w:val="zh-CN"/>
              </w:rPr>
            </w:pPr>
            <w:r>
              <w:rPr>
                <w:lang w:val="zh-CN"/>
              </w:rPr>
              <w:t>Imports - Remeltable steel or directly reduced iron for industry own use, urea, Manufacturers covered under 1125(I)/2011</w:t>
            </w:r>
          </w:p>
        </w:tc>
        <w:tc>
          <w:tcPr>
            <w:tcW w:w="2250" w:type="dxa"/>
            <w:tcBorders>
              <w:top w:val="single" w:color="auto" w:sz="2" w:space="0"/>
              <w:left w:val="single" w:color="auto" w:sz="2" w:space="0"/>
              <w:bottom w:val="single" w:color="auto" w:sz="2" w:space="0"/>
              <w:right w:val="single" w:color="auto" w:sz="2" w:space="0"/>
            </w:tcBorders>
            <w:vAlign w:val="center"/>
          </w:tcPr>
          <w:p w14:paraId="3F7E5430">
            <w:pPr>
              <w:rPr>
                <w:lang w:val="zh-CN"/>
              </w:rPr>
            </w:pPr>
            <w:r>
              <w:rPr>
                <w:lang w:val="zh-CN"/>
              </w:rPr>
              <w:t>148</w:t>
            </w:r>
          </w:p>
        </w:tc>
        <w:tc>
          <w:tcPr>
            <w:tcW w:w="2250" w:type="dxa"/>
            <w:tcBorders>
              <w:top w:val="single" w:color="auto" w:sz="2" w:space="0"/>
              <w:left w:val="single" w:color="auto" w:sz="2" w:space="0"/>
              <w:bottom w:val="single" w:color="auto" w:sz="2" w:space="0"/>
              <w:right w:val="single" w:color="auto" w:sz="2" w:space="0"/>
            </w:tcBorders>
            <w:vAlign w:val="center"/>
          </w:tcPr>
          <w:p w14:paraId="6C7088C1">
            <w:pPr>
              <w:rPr>
                <w:lang w:val="zh-CN"/>
              </w:rPr>
            </w:pPr>
            <w:r>
              <w:rPr>
                <w:lang w:val="zh-CN"/>
              </w:rPr>
              <w:t>1.00%</w:t>
            </w:r>
          </w:p>
        </w:tc>
        <w:tc>
          <w:tcPr>
            <w:tcW w:w="2250" w:type="dxa"/>
            <w:tcBorders>
              <w:top w:val="single" w:color="auto" w:sz="2" w:space="0"/>
              <w:left w:val="single" w:color="auto" w:sz="2" w:space="0"/>
              <w:bottom w:val="single" w:color="auto" w:sz="2" w:space="0"/>
              <w:right w:val="single" w:color="auto" w:sz="2" w:space="0"/>
            </w:tcBorders>
            <w:vAlign w:val="center"/>
          </w:tcPr>
          <w:p w14:paraId="343B53B8">
            <w:pPr>
              <w:rPr>
                <w:lang w:val="zh-CN"/>
              </w:rPr>
            </w:pPr>
            <w:r>
              <w:rPr>
                <w:lang w:val="zh-CN"/>
              </w:rPr>
              <w:t>2.00%</w:t>
            </w:r>
          </w:p>
        </w:tc>
      </w:tr>
      <w:tr w14:paraId="43F555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30E81E38">
            <w:pPr>
              <w:rPr>
                <w:lang w:val="zh-CN"/>
              </w:rPr>
            </w:pPr>
            <w:r>
              <w:rPr>
                <w:lang w:val="zh-CN"/>
              </w:rPr>
              <w:t>Imports - Potassic fertilizers under ECCâ€˜s decision No.ECC-155/12/2004 dt. 9 Dec 2004, Gold, Cotton, LNG</w:t>
            </w:r>
          </w:p>
        </w:tc>
        <w:tc>
          <w:tcPr>
            <w:tcW w:w="2250" w:type="dxa"/>
            <w:tcBorders>
              <w:top w:val="single" w:color="auto" w:sz="2" w:space="0"/>
              <w:left w:val="single" w:color="auto" w:sz="2" w:space="0"/>
              <w:bottom w:val="single" w:color="auto" w:sz="2" w:space="0"/>
              <w:right w:val="single" w:color="auto" w:sz="2" w:space="0"/>
            </w:tcBorders>
            <w:vAlign w:val="center"/>
          </w:tcPr>
          <w:p w14:paraId="53DC1173">
            <w:pPr>
              <w:rPr>
                <w:lang w:val="zh-CN"/>
              </w:rPr>
            </w:pPr>
            <w:r>
              <w:rPr>
                <w:lang w:val="zh-CN"/>
              </w:rPr>
              <w:t>148</w:t>
            </w:r>
          </w:p>
        </w:tc>
        <w:tc>
          <w:tcPr>
            <w:tcW w:w="2250" w:type="dxa"/>
            <w:tcBorders>
              <w:top w:val="single" w:color="auto" w:sz="2" w:space="0"/>
              <w:left w:val="single" w:color="auto" w:sz="2" w:space="0"/>
              <w:bottom w:val="single" w:color="auto" w:sz="2" w:space="0"/>
              <w:right w:val="single" w:color="auto" w:sz="2" w:space="0"/>
            </w:tcBorders>
            <w:vAlign w:val="center"/>
          </w:tcPr>
          <w:p w14:paraId="3C965114">
            <w:pPr>
              <w:rPr>
                <w:lang w:val="zh-CN"/>
              </w:rPr>
            </w:pPr>
            <w:r>
              <w:rPr>
                <w:lang w:val="zh-CN"/>
              </w:rPr>
              <w:t>1.00%</w:t>
            </w:r>
          </w:p>
        </w:tc>
        <w:tc>
          <w:tcPr>
            <w:tcW w:w="2250" w:type="dxa"/>
            <w:tcBorders>
              <w:top w:val="single" w:color="auto" w:sz="2" w:space="0"/>
              <w:left w:val="single" w:color="auto" w:sz="2" w:space="0"/>
              <w:bottom w:val="single" w:color="auto" w:sz="2" w:space="0"/>
              <w:right w:val="single" w:color="auto" w:sz="2" w:space="0"/>
            </w:tcBorders>
            <w:vAlign w:val="center"/>
          </w:tcPr>
          <w:p w14:paraId="6DB1401C">
            <w:pPr>
              <w:rPr>
                <w:lang w:val="zh-CN"/>
              </w:rPr>
            </w:pPr>
            <w:r>
              <w:rPr>
                <w:lang w:val="zh-CN"/>
              </w:rPr>
              <w:t>2.00%</w:t>
            </w:r>
          </w:p>
        </w:tc>
      </w:tr>
      <w:tr w14:paraId="71E8532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35EA6FF9">
            <w:pPr>
              <w:rPr>
                <w:lang w:val="zh-CN"/>
              </w:rPr>
            </w:pPr>
            <w:r>
              <w:rPr>
                <w:lang w:val="zh-CN"/>
              </w:rPr>
              <w:t>Imports - Industrial undertaking, importing plastic raw material (PCT Heading 39.01 to 39.12) for its own</w:t>
            </w:r>
          </w:p>
        </w:tc>
        <w:tc>
          <w:tcPr>
            <w:tcW w:w="2250" w:type="dxa"/>
            <w:tcBorders>
              <w:top w:val="single" w:color="auto" w:sz="2" w:space="0"/>
              <w:left w:val="single" w:color="auto" w:sz="2" w:space="0"/>
              <w:bottom w:val="single" w:color="auto" w:sz="2" w:space="0"/>
              <w:right w:val="single" w:color="auto" w:sz="2" w:space="0"/>
            </w:tcBorders>
            <w:vAlign w:val="center"/>
          </w:tcPr>
          <w:p w14:paraId="7DD661A5">
            <w:pPr>
              <w:rPr>
                <w:lang w:val="zh-CN"/>
              </w:rPr>
            </w:pPr>
            <w:r>
              <w:rPr>
                <w:lang w:val="zh-CN"/>
              </w:rPr>
              <w:t>148</w:t>
            </w:r>
          </w:p>
        </w:tc>
        <w:tc>
          <w:tcPr>
            <w:tcW w:w="2250" w:type="dxa"/>
            <w:tcBorders>
              <w:top w:val="single" w:color="auto" w:sz="2" w:space="0"/>
              <w:left w:val="single" w:color="auto" w:sz="2" w:space="0"/>
              <w:bottom w:val="single" w:color="auto" w:sz="2" w:space="0"/>
              <w:right w:val="single" w:color="auto" w:sz="2" w:space="0"/>
            </w:tcBorders>
            <w:vAlign w:val="center"/>
          </w:tcPr>
          <w:p w14:paraId="246CEE01">
            <w:pPr>
              <w:rPr>
                <w:lang w:val="zh-CN"/>
              </w:rPr>
            </w:pPr>
            <w:r>
              <w:rPr>
                <w:lang w:val="zh-CN"/>
              </w:rPr>
              <w:t>1.75%</w:t>
            </w:r>
          </w:p>
        </w:tc>
        <w:tc>
          <w:tcPr>
            <w:tcW w:w="2250" w:type="dxa"/>
            <w:tcBorders>
              <w:top w:val="single" w:color="auto" w:sz="2" w:space="0"/>
              <w:left w:val="single" w:color="auto" w:sz="2" w:space="0"/>
              <w:bottom w:val="single" w:color="auto" w:sz="2" w:space="0"/>
              <w:right w:val="single" w:color="auto" w:sz="2" w:space="0"/>
            </w:tcBorders>
            <w:vAlign w:val="center"/>
          </w:tcPr>
          <w:p w14:paraId="01F367F8">
            <w:pPr>
              <w:rPr>
                <w:lang w:val="zh-CN"/>
              </w:rPr>
            </w:pPr>
            <w:r>
              <w:rPr>
                <w:lang w:val="zh-CN"/>
              </w:rPr>
              <w:t>3.50%</w:t>
            </w:r>
          </w:p>
        </w:tc>
      </w:tr>
      <w:tr w14:paraId="0F0EADF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78CA287A">
            <w:pPr>
              <w:rPr>
                <w:lang w:val="zh-CN"/>
              </w:rPr>
            </w:pPr>
            <w:r>
              <w:rPr>
                <w:lang w:val="zh-CN"/>
              </w:rPr>
              <w:t>Imports - Commercial importers, importing plastic raw material (PCT Heading 39.01 to 39.12)</w:t>
            </w:r>
          </w:p>
        </w:tc>
        <w:tc>
          <w:tcPr>
            <w:tcW w:w="2250" w:type="dxa"/>
            <w:tcBorders>
              <w:top w:val="single" w:color="auto" w:sz="2" w:space="0"/>
              <w:left w:val="single" w:color="auto" w:sz="2" w:space="0"/>
              <w:bottom w:val="single" w:color="auto" w:sz="2" w:space="0"/>
              <w:right w:val="single" w:color="auto" w:sz="2" w:space="0"/>
            </w:tcBorders>
            <w:vAlign w:val="center"/>
          </w:tcPr>
          <w:p w14:paraId="7E7FBB17">
            <w:pPr>
              <w:rPr>
                <w:lang w:val="zh-CN"/>
              </w:rPr>
            </w:pPr>
            <w:r>
              <w:rPr>
                <w:lang w:val="zh-CN"/>
              </w:rPr>
              <w:t>148</w:t>
            </w:r>
          </w:p>
        </w:tc>
        <w:tc>
          <w:tcPr>
            <w:tcW w:w="2250" w:type="dxa"/>
            <w:tcBorders>
              <w:top w:val="single" w:color="auto" w:sz="2" w:space="0"/>
              <w:left w:val="single" w:color="auto" w:sz="2" w:space="0"/>
              <w:bottom w:val="single" w:color="auto" w:sz="2" w:space="0"/>
              <w:right w:val="single" w:color="auto" w:sz="2" w:space="0"/>
            </w:tcBorders>
            <w:vAlign w:val="center"/>
          </w:tcPr>
          <w:p w14:paraId="05395B6B">
            <w:pPr>
              <w:rPr>
                <w:lang w:val="zh-CN"/>
              </w:rPr>
            </w:pPr>
            <w:r>
              <w:rPr>
                <w:lang w:val="zh-CN"/>
              </w:rPr>
              <w:t>4.50%</w:t>
            </w:r>
          </w:p>
        </w:tc>
        <w:tc>
          <w:tcPr>
            <w:tcW w:w="2250" w:type="dxa"/>
            <w:tcBorders>
              <w:top w:val="single" w:color="auto" w:sz="2" w:space="0"/>
              <w:left w:val="single" w:color="auto" w:sz="2" w:space="0"/>
              <w:bottom w:val="single" w:color="auto" w:sz="2" w:space="0"/>
              <w:right w:val="single" w:color="auto" w:sz="2" w:space="0"/>
            </w:tcBorders>
            <w:vAlign w:val="center"/>
          </w:tcPr>
          <w:p w14:paraId="0474C74E">
            <w:pPr>
              <w:rPr>
                <w:lang w:val="zh-CN"/>
              </w:rPr>
            </w:pPr>
            <w:r>
              <w:rPr>
                <w:lang w:val="zh-CN"/>
              </w:rPr>
              <w:t>9.00%</w:t>
            </w:r>
          </w:p>
        </w:tc>
      </w:tr>
      <w:tr w14:paraId="1B4FAB9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413594A8">
            <w:pPr>
              <w:rPr>
                <w:lang w:val="zh-CN"/>
              </w:rPr>
            </w:pPr>
            <w:r>
              <w:rPr>
                <w:lang w:val="zh-CN"/>
              </w:rPr>
              <w:t>Imports - Pulses</w:t>
            </w:r>
          </w:p>
        </w:tc>
        <w:tc>
          <w:tcPr>
            <w:tcW w:w="2250" w:type="dxa"/>
            <w:tcBorders>
              <w:top w:val="single" w:color="auto" w:sz="2" w:space="0"/>
              <w:left w:val="single" w:color="auto" w:sz="2" w:space="0"/>
              <w:bottom w:val="single" w:color="auto" w:sz="2" w:space="0"/>
              <w:right w:val="single" w:color="auto" w:sz="2" w:space="0"/>
            </w:tcBorders>
            <w:vAlign w:val="center"/>
          </w:tcPr>
          <w:p w14:paraId="3F94D164">
            <w:pPr>
              <w:rPr>
                <w:lang w:val="zh-CN"/>
              </w:rPr>
            </w:pPr>
            <w:r>
              <w:rPr>
                <w:lang w:val="zh-CN"/>
              </w:rPr>
              <w:t>148</w:t>
            </w:r>
          </w:p>
        </w:tc>
        <w:tc>
          <w:tcPr>
            <w:tcW w:w="2250" w:type="dxa"/>
            <w:tcBorders>
              <w:top w:val="single" w:color="auto" w:sz="2" w:space="0"/>
              <w:left w:val="single" w:color="auto" w:sz="2" w:space="0"/>
              <w:bottom w:val="single" w:color="auto" w:sz="2" w:space="0"/>
              <w:right w:val="single" w:color="auto" w:sz="2" w:space="0"/>
            </w:tcBorders>
            <w:vAlign w:val="center"/>
          </w:tcPr>
          <w:p w14:paraId="4B31B36F">
            <w:pPr>
              <w:rPr>
                <w:lang w:val="zh-CN"/>
              </w:rPr>
            </w:pPr>
            <w:r>
              <w:rPr>
                <w:lang w:val="zh-CN"/>
              </w:rPr>
              <w:t>2.00%</w:t>
            </w:r>
          </w:p>
        </w:tc>
        <w:tc>
          <w:tcPr>
            <w:tcW w:w="2250" w:type="dxa"/>
            <w:tcBorders>
              <w:top w:val="single" w:color="auto" w:sz="2" w:space="0"/>
              <w:left w:val="single" w:color="auto" w:sz="2" w:space="0"/>
              <w:bottom w:val="single" w:color="auto" w:sz="2" w:space="0"/>
              <w:right w:val="single" w:color="auto" w:sz="2" w:space="0"/>
            </w:tcBorders>
            <w:vAlign w:val="center"/>
          </w:tcPr>
          <w:p w14:paraId="4CBD7573">
            <w:pPr>
              <w:rPr>
                <w:lang w:val="zh-CN"/>
              </w:rPr>
            </w:pPr>
            <w:r>
              <w:rPr>
                <w:lang w:val="zh-CN"/>
              </w:rPr>
              <w:t>4.00%</w:t>
            </w:r>
          </w:p>
        </w:tc>
      </w:tr>
      <w:tr w14:paraId="45E39B1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5A76D8DC">
            <w:pPr>
              <w:rPr>
                <w:lang w:val="zh-CN"/>
              </w:rPr>
            </w:pPr>
            <w:r>
              <w:rPr>
                <w:lang w:val="zh-CN"/>
              </w:rPr>
              <w:t>Imports - Coal, Finished pharmaceutical products that are not manufactured otherwise in Pakistan</w:t>
            </w:r>
          </w:p>
        </w:tc>
        <w:tc>
          <w:tcPr>
            <w:tcW w:w="2250" w:type="dxa"/>
            <w:tcBorders>
              <w:top w:val="single" w:color="auto" w:sz="2" w:space="0"/>
              <w:left w:val="single" w:color="auto" w:sz="2" w:space="0"/>
              <w:bottom w:val="single" w:color="auto" w:sz="2" w:space="0"/>
              <w:right w:val="single" w:color="auto" w:sz="2" w:space="0"/>
            </w:tcBorders>
            <w:vAlign w:val="center"/>
          </w:tcPr>
          <w:p w14:paraId="1C6A4651">
            <w:pPr>
              <w:rPr>
                <w:lang w:val="zh-CN"/>
              </w:rPr>
            </w:pPr>
            <w:r>
              <w:rPr>
                <w:lang w:val="zh-CN"/>
              </w:rPr>
              <w:t>148</w:t>
            </w:r>
          </w:p>
        </w:tc>
        <w:tc>
          <w:tcPr>
            <w:tcW w:w="2250" w:type="dxa"/>
            <w:tcBorders>
              <w:top w:val="single" w:color="auto" w:sz="2" w:space="0"/>
              <w:left w:val="single" w:color="auto" w:sz="2" w:space="0"/>
              <w:bottom w:val="single" w:color="auto" w:sz="2" w:space="0"/>
              <w:right w:val="single" w:color="auto" w:sz="2" w:space="0"/>
            </w:tcBorders>
            <w:vAlign w:val="center"/>
          </w:tcPr>
          <w:p w14:paraId="34185576">
            <w:pPr>
              <w:rPr>
                <w:lang w:val="zh-CN"/>
              </w:rPr>
            </w:pPr>
            <w:r>
              <w:rPr>
                <w:lang w:val="zh-CN"/>
              </w:rPr>
              <w:t>4.00%</w:t>
            </w:r>
          </w:p>
        </w:tc>
        <w:tc>
          <w:tcPr>
            <w:tcW w:w="2250" w:type="dxa"/>
            <w:tcBorders>
              <w:top w:val="single" w:color="auto" w:sz="2" w:space="0"/>
              <w:left w:val="single" w:color="auto" w:sz="2" w:space="0"/>
              <w:bottom w:val="single" w:color="auto" w:sz="2" w:space="0"/>
              <w:right w:val="single" w:color="auto" w:sz="2" w:space="0"/>
            </w:tcBorders>
            <w:vAlign w:val="center"/>
          </w:tcPr>
          <w:p w14:paraId="24936703">
            <w:pPr>
              <w:rPr>
                <w:lang w:val="zh-CN"/>
              </w:rPr>
            </w:pPr>
            <w:r>
              <w:rPr>
                <w:lang w:val="zh-CN"/>
              </w:rPr>
              <w:t>8.00%</w:t>
            </w:r>
          </w:p>
        </w:tc>
      </w:tr>
      <w:tr w14:paraId="5C39655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47C148EC">
            <w:pPr>
              <w:rPr>
                <w:lang w:val="zh-CN"/>
              </w:rPr>
            </w:pPr>
            <w:r>
              <w:rPr>
                <w:lang w:val="zh-CN"/>
              </w:rPr>
              <w:t>Imports - Ship breakers on import of ships</w:t>
            </w:r>
          </w:p>
        </w:tc>
        <w:tc>
          <w:tcPr>
            <w:tcW w:w="2250" w:type="dxa"/>
            <w:tcBorders>
              <w:top w:val="single" w:color="auto" w:sz="2" w:space="0"/>
              <w:left w:val="single" w:color="auto" w:sz="2" w:space="0"/>
              <w:bottom w:val="single" w:color="auto" w:sz="2" w:space="0"/>
              <w:right w:val="single" w:color="auto" w:sz="2" w:space="0"/>
            </w:tcBorders>
            <w:vAlign w:val="center"/>
          </w:tcPr>
          <w:p w14:paraId="5D176CD6">
            <w:pPr>
              <w:rPr>
                <w:lang w:val="zh-CN"/>
              </w:rPr>
            </w:pPr>
            <w:r>
              <w:rPr>
                <w:lang w:val="zh-CN"/>
              </w:rPr>
              <w:t>148</w:t>
            </w:r>
          </w:p>
        </w:tc>
        <w:tc>
          <w:tcPr>
            <w:tcW w:w="2250" w:type="dxa"/>
            <w:tcBorders>
              <w:top w:val="single" w:color="auto" w:sz="2" w:space="0"/>
              <w:left w:val="single" w:color="auto" w:sz="2" w:space="0"/>
              <w:bottom w:val="single" w:color="auto" w:sz="2" w:space="0"/>
              <w:right w:val="single" w:color="auto" w:sz="2" w:space="0"/>
            </w:tcBorders>
            <w:vAlign w:val="center"/>
          </w:tcPr>
          <w:p w14:paraId="66B7252E">
            <w:pPr>
              <w:rPr>
                <w:lang w:val="zh-CN"/>
              </w:rPr>
            </w:pPr>
            <w:r>
              <w:rPr>
                <w:lang w:val="zh-CN"/>
              </w:rPr>
              <w:t>4.50%</w:t>
            </w:r>
          </w:p>
        </w:tc>
        <w:tc>
          <w:tcPr>
            <w:tcW w:w="2250" w:type="dxa"/>
            <w:tcBorders>
              <w:top w:val="single" w:color="auto" w:sz="2" w:space="0"/>
              <w:left w:val="single" w:color="auto" w:sz="2" w:space="0"/>
              <w:bottom w:val="single" w:color="auto" w:sz="2" w:space="0"/>
              <w:right w:val="single" w:color="auto" w:sz="2" w:space="0"/>
            </w:tcBorders>
            <w:vAlign w:val="center"/>
          </w:tcPr>
          <w:p w14:paraId="1B1A54F1">
            <w:pPr>
              <w:rPr>
                <w:lang w:val="zh-CN"/>
              </w:rPr>
            </w:pPr>
            <w:r>
              <w:rPr>
                <w:lang w:val="zh-CN"/>
              </w:rPr>
              <w:t>9.00%</w:t>
            </w:r>
          </w:p>
        </w:tc>
      </w:tr>
      <w:tr w14:paraId="11B7CA1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20F26306">
            <w:pPr>
              <w:rPr>
                <w:lang w:val="zh-CN"/>
              </w:rPr>
            </w:pPr>
            <w:r>
              <w:rPr>
                <w:lang w:val="zh-CN"/>
              </w:rPr>
              <w:t>Imports - Industrial undertakings or companies not covered above</w:t>
            </w:r>
          </w:p>
        </w:tc>
        <w:tc>
          <w:tcPr>
            <w:tcW w:w="2250" w:type="dxa"/>
            <w:tcBorders>
              <w:top w:val="single" w:color="auto" w:sz="2" w:space="0"/>
              <w:left w:val="single" w:color="auto" w:sz="2" w:space="0"/>
              <w:bottom w:val="single" w:color="auto" w:sz="2" w:space="0"/>
              <w:right w:val="single" w:color="auto" w:sz="2" w:space="0"/>
            </w:tcBorders>
            <w:vAlign w:val="center"/>
          </w:tcPr>
          <w:p w14:paraId="0DCDA68A">
            <w:pPr>
              <w:rPr>
                <w:lang w:val="zh-CN"/>
              </w:rPr>
            </w:pPr>
            <w:r>
              <w:rPr>
                <w:lang w:val="zh-CN"/>
              </w:rPr>
              <w:t>148</w:t>
            </w:r>
          </w:p>
        </w:tc>
        <w:tc>
          <w:tcPr>
            <w:tcW w:w="2250" w:type="dxa"/>
            <w:tcBorders>
              <w:top w:val="single" w:color="auto" w:sz="2" w:space="0"/>
              <w:left w:val="single" w:color="auto" w:sz="2" w:space="0"/>
              <w:bottom w:val="single" w:color="auto" w:sz="2" w:space="0"/>
              <w:right w:val="single" w:color="auto" w:sz="2" w:space="0"/>
            </w:tcBorders>
            <w:vAlign w:val="center"/>
          </w:tcPr>
          <w:p w14:paraId="257AA8F1">
            <w:pPr>
              <w:rPr>
                <w:lang w:val="zh-CN"/>
              </w:rPr>
            </w:pPr>
            <w:r>
              <w:rPr>
                <w:lang w:val="zh-CN"/>
              </w:rPr>
              <w:t>5.50%</w:t>
            </w:r>
          </w:p>
        </w:tc>
        <w:tc>
          <w:tcPr>
            <w:tcW w:w="2250" w:type="dxa"/>
            <w:tcBorders>
              <w:top w:val="single" w:color="auto" w:sz="2" w:space="0"/>
              <w:left w:val="single" w:color="auto" w:sz="2" w:space="0"/>
              <w:bottom w:val="single" w:color="auto" w:sz="2" w:space="0"/>
              <w:right w:val="single" w:color="auto" w:sz="2" w:space="0"/>
            </w:tcBorders>
            <w:vAlign w:val="center"/>
          </w:tcPr>
          <w:p w14:paraId="6DAFF0DA">
            <w:pPr>
              <w:rPr>
                <w:lang w:val="zh-CN"/>
              </w:rPr>
            </w:pPr>
            <w:r>
              <w:rPr>
                <w:lang w:val="zh-CN"/>
              </w:rPr>
              <w:t>11.00%</w:t>
            </w:r>
          </w:p>
        </w:tc>
      </w:tr>
      <w:tr w14:paraId="7ABE9B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52D0A79A">
            <w:pPr>
              <w:rPr>
                <w:lang w:val="zh-CN"/>
              </w:rPr>
            </w:pPr>
            <w:r>
              <w:rPr>
                <w:lang w:val="zh-CN"/>
              </w:rPr>
              <w:t>Imports - Persons not covered above</w:t>
            </w:r>
          </w:p>
        </w:tc>
        <w:tc>
          <w:tcPr>
            <w:tcW w:w="2250" w:type="dxa"/>
            <w:tcBorders>
              <w:top w:val="single" w:color="auto" w:sz="2" w:space="0"/>
              <w:left w:val="single" w:color="auto" w:sz="2" w:space="0"/>
              <w:bottom w:val="single" w:color="auto" w:sz="2" w:space="0"/>
              <w:right w:val="single" w:color="auto" w:sz="2" w:space="0"/>
            </w:tcBorders>
            <w:vAlign w:val="center"/>
          </w:tcPr>
          <w:p w14:paraId="29BA9138">
            <w:pPr>
              <w:rPr>
                <w:lang w:val="zh-CN"/>
              </w:rPr>
            </w:pPr>
            <w:r>
              <w:rPr>
                <w:lang w:val="zh-CN"/>
              </w:rPr>
              <w:t>148</w:t>
            </w:r>
          </w:p>
        </w:tc>
        <w:tc>
          <w:tcPr>
            <w:tcW w:w="2250" w:type="dxa"/>
            <w:tcBorders>
              <w:top w:val="single" w:color="auto" w:sz="2" w:space="0"/>
              <w:left w:val="single" w:color="auto" w:sz="2" w:space="0"/>
              <w:bottom w:val="single" w:color="auto" w:sz="2" w:space="0"/>
              <w:right w:val="single" w:color="auto" w:sz="2" w:space="0"/>
            </w:tcBorders>
            <w:vAlign w:val="center"/>
          </w:tcPr>
          <w:p w14:paraId="7561D5C0">
            <w:pPr>
              <w:rPr>
                <w:lang w:val="zh-CN"/>
              </w:rPr>
            </w:pPr>
            <w:r>
              <w:rPr>
                <w:lang w:val="zh-CN"/>
              </w:rPr>
              <w:t>6.00%</w:t>
            </w:r>
          </w:p>
        </w:tc>
        <w:tc>
          <w:tcPr>
            <w:tcW w:w="2250" w:type="dxa"/>
            <w:tcBorders>
              <w:top w:val="single" w:color="auto" w:sz="2" w:space="0"/>
              <w:left w:val="single" w:color="auto" w:sz="2" w:space="0"/>
              <w:bottom w:val="single" w:color="auto" w:sz="2" w:space="0"/>
              <w:right w:val="single" w:color="auto" w:sz="2" w:space="0"/>
            </w:tcBorders>
            <w:vAlign w:val="center"/>
          </w:tcPr>
          <w:p w14:paraId="455220BC">
            <w:pPr>
              <w:rPr>
                <w:lang w:val="zh-CN"/>
              </w:rPr>
            </w:pPr>
            <w:r>
              <w:rPr>
                <w:lang w:val="zh-CN"/>
              </w:rPr>
              <w:t>12.00%</w:t>
            </w:r>
          </w:p>
        </w:tc>
      </w:tr>
      <w:tr w14:paraId="6A67D38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7D4EF186">
            <w:pPr>
              <w:rPr>
                <w:lang w:val="zh-CN"/>
              </w:rPr>
            </w:pPr>
            <w:r>
              <w:rPr>
                <w:lang w:val="zh-CN"/>
              </w:rPr>
              <w:t>Profit on debt - securities, bond up to 0.5 Lacs</w:t>
            </w:r>
          </w:p>
        </w:tc>
        <w:tc>
          <w:tcPr>
            <w:tcW w:w="2250" w:type="dxa"/>
            <w:tcBorders>
              <w:top w:val="single" w:color="auto" w:sz="2" w:space="0"/>
              <w:left w:val="single" w:color="auto" w:sz="2" w:space="0"/>
              <w:bottom w:val="single" w:color="auto" w:sz="2" w:space="0"/>
              <w:right w:val="single" w:color="auto" w:sz="2" w:space="0"/>
            </w:tcBorders>
            <w:vAlign w:val="center"/>
          </w:tcPr>
          <w:p w14:paraId="58949DAF">
            <w:pPr>
              <w:rPr>
                <w:lang w:val="zh-CN"/>
              </w:rPr>
            </w:pPr>
            <w:r>
              <w:rPr>
                <w:lang w:val="zh-CN"/>
              </w:rPr>
              <w:t>151</w:t>
            </w:r>
          </w:p>
        </w:tc>
        <w:tc>
          <w:tcPr>
            <w:tcW w:w="2250" w:type="dxa"/>
            <w:tcBorders>
              <w:top w:val="single" w:color="auto" w:sz="2" w:space="0"/>
              <w:left w:val="single" w:color="auto" w:sz="2" w:space="0"/>
              <w:bottom w:val="single" w:color="auto" w:sz="2" w:space="0"/>
              <w:right w:val="single" w:color="auto" w:sz="2" w:space="0"/>
            </w:tcBorders>
            <w:vAlign w:val="center"/>
          </w:tcPr>
          <w:p w14:paraId="58723417">
            <w:pPr>
              <w:rPr>
                <w:lang w:val="zh-CN"/>
              </w:rPr>
            </w:pPr>
            <w:r>
              <w:rPr>
                <w:lang w:val="zh-CN"/>
              </w:rPr>
              <w:t>10.00%</w:t>
            </w:r>
          </w:p>
        </w:tc>
        <w:tc>
          <w:tcPr>
            <w:tcW w:w="2250" w:type="dxa"/>
            <w:tcBorders>
              <w:top w:val="single" w:color="auto" w:sz="2" w:space="0"/>
              <w:left w:val="single" w:color="auto" w:sz="2" w:space="0"/>
              <w:bottom w:val="single" w:color="auto" w:sz="2" w:space="0"/>
              <w:right w:val="single" w:color="auto" w:sz="2" w:space="0"/>
            </w:tcBorders>
            <w:vAlign w:val="center"/>
          </w:tcPr>
          <w:p w14:paraId="30453750">
            <w:pPr>
              <w:rPr>
                <w:lang w:val="zh-CN"/>
              </w:rPr>
            </w:pPr>
            <w:r>
              <w:rPr>
                <w:lang w:val="zh-CN"/>
              </w:rPr>
              <w:t>20.00%</w:t>
            </w:r>
          </w:p>
        </w:tc>
      </w:tr>
      <w:tr w14:paraId="286AABC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2C2B99BF">
            <w:pPr>
              <w:rPr>
                <w:lang w:val="zh-CN"/>
              </w:rPr>
            </w:pPr>
            <w:r>
              <w:rPr>
                <w:lang w:val="zh-CN"/>
              </w:rPr>
              <w:t>Profit on debt - securities, bond exceeds 0.5 Lacs</w:t>
            </w:r>
          </w:p>
        </w:tc>
        <w:tc>
          <w:tcPr>
            <w:tcW w:w="2250" w:type="dxa"/>
            <w:tcBorders>
              <w:top w:val="single" w:color="auto" w:sz="2" w:space="0"/>
              <w:left w:val="single" w:color="auto" w:sz="2" w:space="0"/>
              <w:bottom w:val="single" w:color="auto" w:sz="2" w:space="0"/>
              <w:right w:val="single" w:color="auto" w:sz="2" w:space="0"/>
            </w:tcBorders>
            <w:vAlign w:val="center"/>
          </w:tcPr>
          <w:p w14:paraId="1FB5FFD8">
            <w:pPr>
              <w:rPr>
                <w:lang w:val="zh-CN"/>
              </w:rPr>
            </w:pPr>
            <w:r>
              <w:rPr>
                <w:lang w:val="zh-CN"/>
              </w:rPr>
              <w:t>151</w:t>
            </w:r>
          </w:p>
        </w:tc>
        <w:tc>
          <w:tcPr>
            <w:tcW w:w="2250" w:type="dxa"/>
            <w:tcBorders>
              <w:top w:val="single" w:color="auto" w:sz="2" w:space="0"/>
              <w:left w:val="single" w:color="auto" w:sz="2" w:space="0"/>
              <w:bottom w:val="single" w:color="auto" w:sz="2" w:space="0"/>
              <w:right w:val="single" w:color="auto" w:sz="2" w:space="0"/>
            </w:tcBorders>
            <w:vAlign w:val="center"/>
          </w:tcPr>
          <w:p w14:paraId="2424B193">
            <w:pPr>
              <w:rPr>
                <w:lang w:val="zh-CN"/>
              </w:rPr>
            </w:pPr>
            <w:r>
              <w:rPr>
                <w:lang w:val="zh-CN"/>
              </w:rPr>
              <w:t>15.00%</w:t>
            </w:r>
          </w:p>
        </w:tc>
        <w:tc>
          <w:tcPr>
            <w:tcW w:w="2250" w:type="dxa"/>
            <w:tcBorders>
              <w:top w:val="single" w:color="auto" w:sz="2" w:space="0"/>
              <w:left w:val="single" w:color="auto" w:sz="2" w:space="0"/>
              <w:bottom w:val="single" w:color="auto" w:sz="2" w:space="0"/>
              <w:right w:val="single" w:color="auto" w:sz="2" w:space="0"/>
            </w:tcBorders>
            <w:vAlign w:val="center"/>
          </w:tcPr>
          <w:p w14:paraId="2EBD1F68">
            <w:pPr>
              <w:rPr>
                <w:lang w:val="zh-CN"/>
              </w:rPr>
            </w:pPr>
            <w:r>
              <w:rPr>
                <w:lang w:val="zh-CN"/>
              </w:rPr>
              <w:t>30.00%</w:t>
            </w:r>
          </w:p>
        </w:tc>
      </w:tr>
      <w:tr w14:paraId="04138AA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gridSpan w:val="4"/>
            <w:tcBorders>
              <w:top w:val="single" w:color="auto" w:sz="2" w:space="0"/>
              <w:left w:val="single" w:color="auto" w:sz="2" w:space="0"/>
              <w:bottom w:val="single" w:color="auto" w:sz="2" w:space="0"/>
              <w:right w:val="single" w:color="auto" w:sz="2" w:space="0"/>
            </w:tcBorders>
            <w:vAlign w:val="center"/>
          </w:tcPr>
          <w:p w14:paraId="1F4DBB34">
            <w:pPr>
              <w:rPr>
                <w:lang w:val="zh-CN"/>
              </w:rPr>
            </w:pPr>
            <w:r>
              <w:rPr>
                <w:lang w:val="zh-CN"/>
              </w:rPr>
              <w:t>Note 1: The tax withheld shall be adjustable if received by company or Profit on debt is taxable u/s 7B</w:t>
            </w:r>
          </w:p>
        </w:tc>
      </w:tr>
      <w:tr w14:paraId="3D818C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gridSpan w:val="4"/>
            <w:tcBorders>
              <w:top w:val="single" w:color="auto" w:sz="2" w:space="0"/>
              <w:left w:val="single" w:color="auto" w:sz="2" w:space="0"/>
              <w:bottom w:val="single" w:color="auto" w:sz="2" w:space="0"/>
              <w:right w:val="single" w:color="auto" w:sz="2" w:space="0"/>
            </w:tcBorders>
            <w:vAlign w:val="center"/>
          </w:tcPr>
          <w:p w14:paraId="7CBB6E40">
            <w:pPr>
              <w:rPr>
                <w:lang w:val="zh-CN"/>
              </w:rPr>
            </w:pPr>
            <w:r>
              <w:rPr>
                <w:lang w:val="zh-CN"/>
              </w:rPr>
              <w:t>Note 2: Final if received from Debt instruments, Government securities including Treasury Bills and Pakistan Investment Bonds</w:t>
            </w:r>
          </w:p>
        </w:tc>
      </w:tr>
      <w:tr w14:paraId="1039450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2E084DB8">
            <w:pPr>
              <w:rPr>
                <w:lang w:val="zh-CN"/>
              </w:rPr>
            </w:pPr>
            <w:r>
              <w:rPr>
                <w:lang w:val="zh-CN"/>
              </w:rPr>
              <w:t>Non resident - Royalty or fee for technical services</w:t>
            </w:r>
          </w:p>
        </w:tc>
        <w:tc>
          <w:tcPr>
            <w:tcW w:w="2250" w:type="dxa"/>
            <w:tcBorders>
              <w:top w:val="single" w:color="auto" w:sz="2" w:space="0"/>
              <w:left w:val="single" w:color="auto" w:sz="2" w:space="0"/>
              <w:bottom w:val="single" w:color="auto" w:sz="2" w:space="0"/>
              <w:right w:val="single" w:color="auto" w:sz="2" w:space="0"/>
            </w:tcBorders>
            <w:vAlign w:val="center"/>
          </w:tcPr>
          <w:p w14:paraId="0F9A5BB8">
            <w:pPr>
              <w:rPr>
                <w:lang w:val="zh-CN"/>
              </w:rPr>
            </w:pPr>
            <w:r>
              <w:rPr>
                <w:lang w:val="zh-CN"/>
              </w:rPr>
              <w:t>151(1)</w:t>
            </w:r>
          </w:p>
        </w:tc>
        <w:tc>
          <w:tcPr>
            <w:tcW w:w="2250" w:type="dxa"/>
            <w:tcBorders>
              <w:top w:val="single" w:color="auto" w:sz="2" w:space="0"/>
              <w:left w:val="single" w:color="auto" w:sz="2" w:space="0"/>
              <w:bottom w:val="single" w:color="auto" w:sz="2" w:space="0"/>
              <w:right w:val="single" w:color="auto" w:sz="2" w:space="0"/>
            </w:tcBorders>
            <w:vAlign w:val="center"/>
          </w:tcPr>
          <w:p w14:paraId="2FBD6D73">
            <w:pPr>
              <w:rPr>
                <w:lang w:val="zh-CN"/>
              </w:rPr>
            </w:pPr>
            <w:r>
              <w:rPr>
                <w:lang w:val="zh-CN"/>
              </w:rPr>
              <w:t>15.00%</w:t>
            </w:r>
          </w:p>
        </w:tc>
        <w:tc>
          <w:tcPr>
            <w:tcW w:w="2250" w:type="dxa"/>
            <w:tcBorders>
              <w:top w:val="single" w:color="auto" w:sz="2" w:space="0"/>
              <w:left w:val="single" w:color="auto" w:sz="2" w:space="0"/>
              <w:bottom w:val="single" w:color="auto" w:sz="2" w:space="0"/>
              <w:right w:val="single" w:color="auto" w:sz="2" w:space="0"/>
            </w:tcBorders>
            <w:vAlign w:val="center"/>
          </w:tcPr>
          <w:p w14:paraId="111C92D2">
            <w:pPr>
              <w:rPr>
                <w:lang w:val="zh-CN"/>
              </w:rPr>
            </w:pPr>
            <w:r>
              <w:rPr>
                <w:lang w:val="zh-CN"/>
              </w:rPr>
              <w:t>15.00%</w:t>
            </w:r>
          </w:p>
        </w:tc>
      </w:tr>
      <w:tr w14:paraId="68ABE39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001AD77F">
            <w:pPr>
              <w:rPr>
                <w:lang w:val="zh-CN"/>
              </w:rPr>
            </w:pPr>
            <w:r>
              <w:rPr>
                <w:lang w:val="zh-CN"/>
              </w:rPr>
              <w:t>Non resident - Contracts for construction, advertisement by TV satellite channels</w:t>
            </w:r>
          </w:p>
        </w:tc>
        <w:tc>
          <w:tcPr>
            <w:tcW w:w="2250" w:type="dxa"/>
            <w:tcBorders>
              <w:top w:val="single" w:color="auto" w:sz="2" w:space="0"/>
              <w:left w:val="single" w:color="auto" w:sz="2" w:space="0"/>
              <w:bottom w:val="single" w:color="auto" w:sz="2" w:space="0"/>
              <w:right w:val="single" w:color="auto" w:sz="2" w:space="0"/>
            </w:tcBorders>
            <w:vAlign w:val="center"/>
          </w:tcPr>
          <w:p w14:paraId="20C9D976">
            <w:pPr>
              <w:rPr>
                <w:lang w:val="zh-CN"/>
              </w:rPr>
            </w:pPr>
            <w:r>
              <w:rPr>
                <w:lang w:val="zh-CN"/>
              </w:rPr>
              <w:t>152(1A)</w:t>
            </w:r>
          </w:p>
        </w:tc>
        <w:tc>
          <w:tcPr>
            <w:tcW w:w="2250" w:type="dxa"/>
            <w:tcBorders>
              <w:top w:val="single" w:color="auto" w:sz="2" w:space="0"/>
              <w:left w:val="single" w:color="auto" w:sz="2" w:space="0"/>
              <w:bottom w:val="single" w:color="auto" w:sz="2" w:space="0"/>
              <w:right w:val="single" w:color="auto" w:sz="2" w:space="0"/>
            </w:tcBorders>
            <w:vAlign w:val="center"/>
          </w:tcPr>
          <w:p w14:paraId="7AA851CA">
            <w:pPr>
              <w:rPr>
                <w:lang w:val="zh-CN"/>
              </w:rPr>
            </w:pPr>
            <w:r>
              <w:rPr>
                <w:lang w:val="zh-CN"/>
              </w:rPr>
              <w:t>7.00%</w:t>
            </w:r>
          </w:p>
        </w:tc>
        <w:tc>
          <w:tcPr>
            <w:tcW w:w="2250" w:type="dxa"/>
            <w:tcBorders>
              <w:top w:val="single" w:color="auto" w:sz="2" w:space="0"/>
              <w:left w:val="single" w:color="auto" w:sz="2" w:space="0"/>
              <w:bottom w:val="single" w:color="auto" w:sz="2" w:space="0"/>
              <w:right w:val="single" w:color="auto" w:sz="2" w:space="0"/>
            </w:tcBorders>
            <w:vAlign w:val="center"/>
          </w:tcPr>
          <w:p w14:paraId="2656BD60">
            <w:pPr>
              <w:rPr>
                <w:lang w:val="zh-CN"/>
              </w:rPr>
            </w:pPr>
            <w:r>
              <w:rPr>
                <w:lang w:val="zh-CN"/>
              </w:rPr>
              <w:t>14.00%</w:t>
            </w:r>
          </w:p>
        </w:tc>
      </w:tr>
      <w:tr w14:paraId="2F64B2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jc w:val="center"/>
        </w:trPr>
        <w:tc>
          <w:tcPr>
            <w:tcW w:w="6750" w:type="dxa"/>
            <w:tcBorders>
              <w:top w:val="single" w:color="auto" w:sz="2" w:space="0"/>
              <w:left w:val="single" w:color="auto" w:sz="2" w:space="0"/>
              <w:bottom w:val="single" w:color="auto" w:sz="2" w:space="0"/>
              <w:right w:val="single" w:color="auto" w:sz="2" w:space="0"/>
            </w:tcBorders>
            <w:vAlign w:val="center"/>
          </w:tcPr>
          <w:p w14:paraId="2547F2C6">
            <w:pPr>
              <w:rPr>
                <w:lang w:val="zh-CN"/>
              </w:rPr>
            </w:pPr>
            <w:r>
              <w:rPr>
                <w:lang w:val="zh-CN"/>
              </w:rPr>
              <w:t>Non resident - Insurance or re-insurance premium</w:t>
            </w:r>
          </w:p>
        </w:tc>
        <w:tc>
          <w:tcPr>
            <w:tcW w:w="2250" w:type="dxa"/>
            <w:tcBorders>
              <w:top w:val="single" w:color="auto" w:sz="2" w:space="0"/>
              <w:left w:val="single" w:color="auto" w:sz="2" w:space="0"/>
              <w:bottom w:val="single" w:color="auto" w:sz="2" w:space="0"/>
              <w:right w:val="single" w:color="auto" w:sz="2" w:space="0"/>
            </w:tcBorders>
            <w:vAlign w:val="center"/>
          </w:tcPr>
          <w:p w14:paraId="54396F9E">
            <w:pPr>
              <w:rPr>
                <w:lang w:val="zh-CN"/>
              </w:rPr>
            </w:pPr>
            <w:r>
              <w:rPr>
                <w:lang w:val="zh-CN"/>
              </w:rPr>
              <w:t>152(1AAA)</w:t>
            </w:r>
          </w:p>
        </w:tc>
        <w:tc>
          <w:tcPr>
            <w:tcW w:w="2250" w:type="dxa"/>
            <w:tcBorders>
              <w:top w:val="single" w:color="auto" w:sz="2" w:space="0"/>
              <w:left w:val="single" w:color="auto" w:sz="2" w:space="0"/>
              <w:bottom w:val="single" w:color="auto" w:sz="2" w:space="0"/>
              <w:right w:val="single" w:color="auto" w:sz="2" w:space="0"/>
            </w:tcBorders>
            <w:vAlign w:val="center"/>
          </w:tcPr>
          <w:p w14:paraId="3A7BEA7F">
            <w:pPr>
              <w:rPr>
                <w:lang w:val="zh-CN"/>
              </w:rPr>
            </w:pPr>
            <w:r>
              <w:rPr>
                <w:lang w:val="zh-CN"/>
              </w:rPr>
              <w:t>5.00%</w:t>
            </w:r>
          </w:p>
        </w:tc>
        <w:tc>
          <w:tcPr>
            <w:tcW w:w="2250" w:type="dxa"/>
            <w:tcBorders>
              <w:top w:val="single" w:color="auto" w:sz="2" w:space="0"/>
              <w:left w:val="single" w:color="auto" w:sz="2" w:space="0"/>
              <w:bottom w:val="single" w:color="auto" w:sz="2" w:space="0"/>
              <w:right w:val="single" w:color="auto" w:sz="2" w:space="0"/>
            </w:tcBorders>
            <w:vAlign w:val="center"/>
          </w:tcPr>
          <w:p w14:paraId="3EDFEBC5">
            <w:pPr>
              <w:rPr>
                <w:lang w:val="zh-CN"/>
              </w:rPr>
            </w:pPr>
            <w:r>
              <w:rPr>
                <w:lang w:val="zh-CN"/>
              </w:rPr>
              <w:t>5.00%</w:t>
            </w:r>
          </w:p>
        </w:tc>
      </w:tr>
    </w:tbl>
    <w:p w14:paraId="450F22CB">
      <w:pPr>
        <w:rPr>
          <w:lang w:val="zh-CN"/>
        </w:rPr>
      </w:pPr>
      <w:r>
        <w:rPr>
          <w:lang w:val="zh-CN"/>
        </w:rPr>
        <w:pict>
          <v:rect id="_x0000_i1028" o:spt="1" style="height:1.5pt;width:0pt;" fillcolor="#A0A0A0" filled="t" stroked="f" coordsize="21600,21600" o:hr="t" o:hrstd="t" o:hralign="center">
            <v:path/>
            <v:fill on="t" focussize="0,0"/>
            <v:stroke on="f"/>
            <v:imagedata o:title=""/>
            <o:lock v:ext="edit"/>
            <w10:wrap type="none"/>
            <w10:anchorlock/>
          </v:rect>
        </w:pict>
      </w:r>
    </w:p>
    <w:tbl>
      <w:tblPr>
        <w:tblStyle w:val="12"/>
        <w:tblW w:w="975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2" w:type="dxa"/>
          <w:left w:w="12" w:type="dxa"/>
          <w:bottom w:w="12" w:type="dxa"/>
          <w:right w:w="12" w:type="dxa"/>
        </w:tblCellMar>
      </w:tblPr>
      <w:tblGrid>
        <w:gridCol w:w="353"/>
        <w:gridCol w:w="5309"/>
        <w:gridCol w:w="4088"/>
      </w:tblGrid>
      <w:tr w14:paraId="5584C9C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300" w:hRule="atLeast"/>
          <w:jc w:val="center"/>
        </w:trPr>
        <w:tc>
          <w:tcPr>
            <w:tcW w:w="300" w:type="dxa"/>
            <w:gridSpan w:val="2"/>
            <w:tcBorders>
              <w:top w:val="single" w:color="auto" w:sz="2" w:space="0"/>
              <w:left w:val="single" w:color="auto" w:sz="2" w:space="0"/>
              <w:bottom w:val="single" w:color="auto" w:sz="2" w:space="0"/>
              <w:right w:val="single" w:color="auto" w:sz="2" w:space="0"/>
            </w:tcBorders>
            <w:vAlign w:val="center"/>
          </w:tcPr>
          <w:p w14:paraId="70B69491">
            <w:pPr>
              <w:rPr>
                <w:lang w:val="zh-CN"/>
              </w:rPr>
            </w:pPr>
            <w:r>
              <w:rPr>
                <w:b/>
                <w:bCs/>
                <w:lang w:val="zh-CN"/>
              </w:rPr>
              <w:t>COMPANIES</w:t>
            </w:r>
          </w:p>
        </w:tc>
        <w:tc>
          <w:tcPr>
            <w:tcW w:w="3465" w:type="dxa"/>
            <w:tcBorders>
              <w:top w:val="single" w:color="auto" w:sz="2" w:space="0"/>
              <w:left w:val="single" w:color="auto" w:sz="2" w:space="0"/>
              <w:bottom w:val="single" w:color="auto" w:sz="2" w:space="0"/>
              <w:right w:val="single" w:color="auto" w:sz="2" w:space="0"/>
            </w:tcBorders>
            <w:vAlign w:val="center"/>
          </w:tcPr>
          <w:p w14:paraId="276E822D">
            <w:pPr>
              <w:rPr>
                <w:lang w:val="zh-CN"/>
              </w:rPr>
            </w:pPr>
            <w:r>
              <w:rPr>
                <w:b/>
                <w:bCs/>
                <w:lang w:val="zh-CN"/>
              </w:rPr>
              <w:t>Division II, Part I, First Schedule</w:t>
            </w:r>
          </w:p>
        </w:tc>
      </w:tr>
      <w:tr w14:paraId="5227BF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2"/>
            <w:tcBorders>
              <w:top w:val="single" w:color="auto" w:sz="2" w:space="0"/>
              <w:left w:val="single" w:color="auto" w:sz="2" w:space="0"/>
              <w:bottom w:val="single" w:color="auto" w:sz="2" w:space="0"/>
              <w:right w:val="single" w:color="auto" w:sz="2" w:space="0"/>
            </w:tcBorders>
            <w:vAlign w:val="center"/>
          </w:tcPr>
          <w:p w14:paraId="623E5B98">
            <w:pPr>
              <w:rPr>
                <w:lang w:val="zh-CN"/>
              </w:rPr>
            </w:pPr>
            <w:r>
              <w:rPr>
                <w:b/>
                <w:bCs/>
                <w:lang w:val="zh-CN"/>
              </w:rPr>
              <w:t>Taxable Income</w:t>
            </w:r>
          </w:p>
        </w:tc>
        <w:tc>
          <w:tcPr>
            <w:tcW w:w="3465" w:type="dxa"/>
            <w:tcBorders>
              <w:top w:val="single" w:color="auto" w:sz="2" w:space="0"/>
              <w:left w:val="single" w:color="auto" w:sz="2" w:space="0"/>
              <w:bottom w:val="single" w:color="auto" w:sz="2" w:space="0"/>
              <w:right w:val="single" w:color="auto" w:sz="2" w:space="0"/>
            </w:tcBorders>
            <w:vAlign w:val="center"/>
          </w:tcPr>
          <w:p w14:paraId="0D4CB0CF">
            <w:pPr>
              <w:rPr>
                <w:lang w:val="zh-CN"/>
              </w:rPr>
            </w:pPr>
            <w:r>
              <w:rPr>
                <w:b/>
                <w:bCs/>
                <w:lang w:val="zh-CN"/>
              </w:rPr>
              <w:t>Rate of tax</w:t>
            </w:r>
          </w:p>
        </w:tc>
      </w:tr>
      <w:tr w14:paraId="4BD694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59F6FE8E">
            <w:pPr>
              <w:rPr>
                <w:lang w:val="zh-CN"/>
              </w:rPr>
            </w:pPr>
            <w:r>
              <w:rPr>
                <w:lang w:val="zh-CN"/>
              </w:rPr>
              <w:t>1</w:t>
            </w:r>
          </w:p>
        </w:tc>
        <w:tc>
          <w:tcPr>
            <w:tcW w:w="4500" w:type="dxa"/>
            <w:tcBorders>
              <w:top w:val="single" w:color="auto" w:sz="2" w:space="0"/>
              <w:left w:val="single" w:color="auto" w:sz="2" w:space="0"/>
              <w:bottom w:val="single" w:color="auto" w:sz="2" w:space="0"/>
              <w:right w:val="single" w:color="auto" w:sz="2" w:space="0"/>
            </w:tcBorders>
            <w:vAlign w:val="center"/>
          </w:tcPr>
          <w:p w14:paraId="739085EB">
            <w:pPr>
              <w:rPr>
                <w:lang w:val="zh-CN"/>
              </w:rPr>
            </w:pPr>
            <w:r>
              <w:rPr>
                <w:lang w:val="zh-CN"/>
              </w:rPr>
              <w:t>Small Company</w:t>
            </w:r>
          </w:p>
        </w:tc>
        <w:tc>
          <w:tcPr>
            <w:tcW w:w="3465" w:type="dxa"/>
            <w:tcBorders>
              <w:top w:val="single" w:color="auto" w:sz="2" w:space="0"/>
              <w:left w:val="single" w:color="auto" w:sz="2" w:space="0"/>
              <w:bottom w:val="single" w:color="auto" w:sz="2" w:space="0"/>
              <w:right w:val="single" w:color="auto" w:sz="2" w:space="0"/>
            </w:tcBorders>
            <w:vAlign w:val="center"/>
          </w:tcPr>
          <w:p w14:paraId="0A6E7DA3">
            <w:pPr>
              <w:rPr>
                <w:lang w:val="zh-CN"/>
              </w:rPr>
            </w:pPr>
            <w:r>
              <w:rPr>
                <w:lang w:val="zh-CN"/>
              </w:rPr>
              <w:t>23%</w:t>
            </w:r>
          </w:p>
        </w:tc>
      </w:tr>
      <w:tr w14:paraId="15351F2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01F9CB21">
            <w:pPr>
              <w:rPr>
                <w:lang w:val="zh-CN"/>
              </w:rPr>
            </w:pPr>
            <w:r>
              <w:rPr>
                <w:lang w:val="zh-CN"/>
              </w:rPr>
              <w:t>2</w:t>
            </w:r>
          </w:p>
        </w:tc>
        <w:tc>
          <w:tcPr>
            <w:tcW w:w="1725" w:type="dxa"/>
            <w:tcBorders>
              <w:top w:val="single" w:color="auto" w:sz="2" w:space="0"/>
              <w:left w:val="single" w:color="auto" w:sz="2" w:space="0"/>
              <w:bottom w:val="single" w:color="auto" w:sz="2" w:space="0"/>
              <w:right w:val="single" w:color="auto" w:sz="2" w:space="0"/>
            </w:tcBorders>
            <w:vAlign w:val="center"/>
          </w:tcPr>
          <w:p w14:paraId="66F26AC2">
            <w:pPr>
              <w:rPr>
                <w:lang w:val="zh-CN"/>
              </w:rPr>
            </w:pPr>
            <w:r>
              <w:rPr>
                <w:lang w:val="zh-CN"/>
              </w:rPr>
              <w:t>Banking Company</w:t>
            </w:r>
          </w:p>
        </w:tc>
        <w:tc>
          <w:tcPr>
            <w:tcW w:w="3465" w:type="dxa"/>
            <w:tcBorders>
              <w:top w:val="single" w:color="auto" w:sz="2" w:space="0"/>
              <w:left w:val="single" w:color="auto" w:sz="2" w:space="0"/>
              <w:bottom w:val="single" w:color="auto" w:sz="2" w:space="0"/>
              <w:right w:val="single" w:color="auto" w:sz="2" w:space="0"/>
            </w:tcBorders>
            <w:vAlign w:val="center"/>
          </w:tcPr>
          <w:p w14:paraId="7CF6700A">
            <w:pPr>
              <w:rPr>
                <w:lang w:val="zh-CN"/>
              </w:rPr>
            </w:pPr>
            <w:r>
              <w:rPr>
                <w:lang w:val="zh-CN"/>
              </w:rPr>
              <w:t>35%</w:t>
            </w:r>
          </w:p>
        </w:tc>
      </w:tr>
      <w:tr w14:paraId="06A3DB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31F7F341">
            <w:pPr>
              <w:rPr>
                <w:lang w:val="zh-CN"/>
              </w:rPr>
            </w:pPr>
            <w:r>
              <w:rPr>
                <w:lang w:val="zh-CN"/>
              </w:rPr>
              <w:t>3</w:t>
            </w:r>
          </w:p>
        </w:tc>
        <w:tc>
          <w:tcPr>
            <w:tcW w:w="1725" w:type="dxa"/>
            <w:tcBorders>
              <w:top w:val="single" w:color="auto" w:sz="2" w:space="0"/>
              <w:left w:val="single" w:color="auto" w:sz="2" w:space="0"/>
              <w:bottom w:val="single" w:color="auto" w:sz="2" w:space="0"/>
              <w:right w:val="single" w:color="auto" w:sz="2" w:space="0"/>
            </w:tcBorders>
            <w:vAlign w:val="center"/>
          </w:tcPr>
          <w:p w14:paraId="103BDC48">
            <w:pPr>
              <w:rPr>
                <w:lang w:val="zh-CN"/>
              </w:rPr>
            </w:pPr>
            <w:r>
              <w:rPr>
                <w:lang w:val="zh-CN"/>
              </w:rPr>
              <w:t>All other Company</w:t>
            </w:r>
          </w:p>
        </w:tc>
        <w:tc>
          <w:tcPr>
            <w:tcW w:w="3465" w:type="dxa"/>
            <w:tcBorders>
              <w:top w:val="single" w:color="auto" w:sz="2" w:space="0"/>
              <w:left w:val="single" w:color="auto" w:sz="2" w:space="0"/>
              <w:bottom w:val="single" w:color="auto" w:sz="2" w:space="0"/>
              <w:right w:val="single" w:color="auto" w:sz="2" w:space="0"/>
            </w:tcBorders>
            <w:vAlign w:val="center"/>
          </w:tcPr>
          <w:p w14:paraId="637E7D90">
            <w:pPr>
              <w:rPr>
                <w:lang w:val="zh-CN"/>
              </w:rPr>
            </w:pPr>
            <w:r>
              <w:rPr>
                <w:lang w:val="zh-CN"/>
              </w:rPr>
              <w:t>29%</w:t>
            </w:r>
          </w:p>
        </w:tc>
      </w:tr>
      <w:tr w14:paraId="77543D1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571A1DFC">
            <w:pPr>
              <w:rPr>
                <w:lang w:val="zh-CN"/>
              </w:rPr>
            </w:pPr>
            <w:r>
              <w:rPr>
                <w:lang w:val="zh-CN"/>
              </w:rPr>
              <w:t>4</w:t>
            </w:r>
          </w:p>
        </w:tc>
        <w:tc>
          <w:tcPr>
            <w:tcW w:w="1725" w:type="dxa"/>
            <w:tcBorders>
              <w:top w:val="single" w:color="auto" w:sz="2" w:space="0"/>
              <w:left w:val="single" w:color="auto" w:sz="2" w:space="0"/>
              <w:bottom w:val="single" w:color="auto" w:sz="2" w:space="0"/>
              <w:right w:val="single" w:color="auto" w:sz="2" w:space="0"/>
            </w:tcBorders>
            <w:vAlign w:val="center"/>
          </w:tcPr>
          <w:p w14:paraId="1FFD31B4">
            <w:pPr>
              <w:rPr>
                <w:lang w:val="zh-CN"/>
              </w:rPr>
            </w:pPr>
            <w:r>
              <w:rPr>
                <w:lang w:val="zh-CN"/>
              </w:rPr>
              <w:t>Alternate Corporate Tax (ACT)</w:t>
            </w:r>
          </w:p>
        </w:tc>
        <w:tc>
          <w:tcPr>
            <w:tcW w:w="3465" w:type="dxa"/>
            <w:tcBorders>
              <w:top w:val="single" w:color="auto" w:sz="2" w:space="0"/>
              <w:left w:val="single" w:color="auto" w:sz="2" w:space="0"/>
              <w:bottom w:val="single" w:color="auto" w:sz="2" w:space="0"/>
              <w:right w:val="single" w:color="auto" w:sz="2" w:space="0"/>
            </w:tcBorders>
            <w:vAlign w:val="center"/>
          </w:tcPr>
          <w:p w14:paraId="4F68821C">
            <w:pPr>
              <w:rPr>
                <w:lang w:val="zh-CN"/>
              </w:rPr>
            </w:pPr>
            <w:r>
              <w:rPr>
                <w:lang w:val="zh-CN"/>
              </w:rPr>
              <w:t>17%</w:t>
            </w:r>
          </w:p>
        </w:tc>
      </w:tr>
      <w:tr w14:paraId="57B1D8F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75B8A226">
            <w:pPr>
              <w:rPr>
                <w:lang w:val="zh-CN"/>
              </w:rPr>
            </w:pPr>
            <w:r>
              <w:rPr>
                <w:lang w:val="zh-CN"/>
              </w:rPr>
              <w:t>5</w:t>
            </w:r>
          </w:p>
        </w:tc>
        <w:tc>
          <w:tcPr>
            <w:tcW w:w="1725" w:type="dxa"/>
            <w:tcBorders>
              <w:top w:val="single" w:color="auto" w:sz="2" w:space="0"/>
              <w:left w:val="single" w:color="auto" w:sz="2" w:space="0"/>
              <w:bottom w:val="single" w:color="auto" w:sz="2" w:space="0"/>
              <w:right w:val="single" w:color="auto" w:sz="2" w:space="0"/>
            </w:tcBorders>
            <w:vAlign w:val="center"/>
          </w:tcPr>
          <w:p w14:paraId="47318351">
            <w:pPr>
              <w:rPr>
                <w:lang w:val="zh-CN"/>
              </w:rPr>
            </w:pPr>
            <w:r>
              <w:rPr>
                <w:lang w:val="zh-CN"/>
              </w:rPr>
              <w:t>Minimum Turnover Tax</w:t>
            </w:r>
          </w:p>
        </w:tc>
        <w:tc>
          <w:tcPr>
            <w:tcW w:w="3465" w:type="dxa"/>
            <w:tcBorders>
              <w:top w:val="single" w:color="auto" w:sz="2" w:space="0"/>
              <w:left w:val="single" w:color="auto" w:sz="2" w:space="0"/>
              <w:bottom w:val="single" w:color="auto" w:sz="2" w:space="0"/>
              <w:right w:val="single" w:color="auto" w:sz="2" w:space="0"/>
            </w:tcBorders>
            <w:vAlign w:val="center"/>
          </w:tcPr>
          <w:p w14:paraId="51878979">
            <w:pPr>
              <w:rPr>
                <w:lang w:val="zh-CN"/>
              </w:rPr>
            </w:pPr>
            <w:r>
              <w:rPr>
                <w:lang w:val="zh-CN"/>
              </w:rPr>
              <w:t>1.50%</w:t>
            </w:r>
          </w:p>
        </w:tc>
      </w:tr>
    </w:tbl>
    <w:p w14:paraId="5CDE9A02">
      <w:pPr>
        <w:rPr>
          <w:vanish/>
          <w:lang w:val="zh-CN"/>
        </w:rPr>
      </w:pPr>
    </w:p>
    <w:tbl>
      <w:tblPr>
        <w:tblStyle w:val="12"/>
        <w:tblW w:w="975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2" w:type="dxa"/>
          <w:left w:w="12" w:type="dxa"/>
          <w:bottom w:w="12" w:type="dxa"/>
          <w:right w:w="12" w:type="dxa"/>
        </w:tblCellMar>
      </w:tblPr>
      <w:tblGrid>
        <w:gridCol w:w="353"/>
        <w:gridCol w:w="5309"/>
        <w:gridCol w:w="4088"/>
      </w:tblGrid>
      <w:tr w14:paraId="397485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2"/>
            <w:tcBorders>
              <w:top w:val="single" w:color="auto" w:sz="2" w:space="0"/>
              <w:left w:val="single" w:color="auto" w:sz="2" w:space="0"/>
              <w:bottom w:val="single" w:color="auto" w:sz="2" w:space="0"/>
              <w:right w:val="single" w:color="auto" w:sz="2" w:space="0"/>
            </w:tcBorders>
            <w:vAlign w:val="center"/>
          </w:tcPr>
          <w:p w14:paraId="62C723BA">
            <w:pPr>
              <w:rPr>
                <w:lang w:val="zh-CN"/>
              </w:rPr>
            </w:pPr>
            <w:r>
              <w:rPr>
                <w:b/>
                <w:bCs/>
                <w:lang w:val="zh-CN"/>
              </w:rPr>
              <w:t>SUPER TAX</w:t>
            </w:r>
          </w:p>
        </w:tc>
        <w:tc>
          <w:tcPr>
            <w:tcW w:w="3465" w:type="dxa"/>
            <w:tcBorders>
              <w:top w:val="single" w:color="auto" w:sz="2" w:space="0"/>
              <w:left w:val="single" w:color="auto" w:sz="2" w:space="0"/>
              <w:bottom w:val="single" w:color="auto" w:sz="2" w:space="0"/>
              <w:right w:val="single" w:color="auto" w:sz="2" w:space="0"/>
            </w:tcBorders>
            <w:vAlign w:val="center"/>
          </w:tcPr>
          <w:p w14:paraId="0CB29115">
            <w:pPr>
              <w:rPr>
                <w:lang w:val="zh-CN"/>
              </w:rPr>
            </w:pPr>
            <w:r>
              <w:rPr>
                <w:b/>
                <w:bCs/>
                <w:lang w:val="zh-CN"/>
              </w:rPr>
              <w:t>Division II, Part I, First Schedule</w:t>
            </w:r>
          </w:p>
        </w:tc>
      </w:tr>
      <w:tr w14:paraId="07A3156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462FACA5">
            <w:pPr>
              <w:rPr>
                <w:lang w:val="zh-CN"/>
              </w:rPr>
            </w:pPr>
            <w:r>
              <w:rPr>
                <w:b/>
                <w:bCs/>
                <w:lang w:val="zh-CN"/>
              </w:rPr>
              <w:t>S#</w:t>
            </w:r>
          </w:p>
        </w:tc>
        <w:tc>
          <w:tcPr>
            <w:tcW w:w="1725" w:type="dxa"/>
            <w:tcBorders>
              <w:top w:val="single" w:color="auto" w:sz="2" w:space="0"/>
              <w:left w:val="single" w:color="auto" w:sz="2" w:space="0"/>
              <w:bottom w:val="single" w:color="auto" w:sz="2" w:space="0"/>
              <w:right w:val="single" w:color="auto" w:sz="2" w:space="0"/>
            </w:tcBorders>
            <w:vAlign w:val="center"/>
          </w:tcPr>
          <w:p w14:paraId="2DFF0E0F">
            <w:pPr>
              <w:rPr>
                <w:lang w:val="zh-CN"/>
              </w:rPr>
            </w:pPr>
            <w:r>
              <w:rPr>
                <w:b/>
                <w:bCs/>
                <w:lang w:val="zh-CN"/>
              </w:rPr>
              <w:t>Taxable Income</w:t>
            </w:r>
          </w:p>
        </w:tc>
        <w:tc>
          <w:tcPr>
            <w:tcW w:w="3465" w:type="dxa"/>
            <w:tcBorders>
              <w:top w:val="single" w:color="auto" w:sz="2" w:space="0"/>
              <w:left w:val="single" w:color="auto" w:sz="2" w:space="0"/>
              <w:bottom w:val="single" w:color="auto" w:sz="2" w:space="0"/>
              <w:right w:val="single" w:color="auto" w:sz="2" w:space="0"/>
            </w:tcBorders>
            <w:vAlign w:val="center"/>
          </w:tcPr>
          <w:p w14:paraId="2CCB204E">
            <w:pPr>
              <w:rPr>
                <w:lang w:val="zh-CN"/>
              </w:rPr>
            </w:pPr>
            <w:r>
              <w:rPr>
                <w:b/>
                <w:bCs/>
                <w:lang w:val="zh-CN"/>
              </w:rPr>
              <w:t>Rate</w:t>
            </w:r>
          </w:p>
        </w:tc>
      </w:tr>
      <w:tr w14:paraId="6A98CF3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167995D8">
            <w:pPr>
              <w:rPr>
                <w:lang w:val="zh-CN"/>
              </w:rPr>
            </w:pPr>
            <w:r>
              <w:rPr>
                <w:lang w:val="zh-CN"/>
              </w:rPr>
              <w:t>1</w:t>
            </w:r>
          </w:p>
        </w:tc>
        <w:tc>
          <w:tcPr>
            <w:tcW w:w="1725" w:type="dxa"/>
            <w:tcBorders>
              <w:top w:val="single" w:color="auto" w:sz="2" w:space="0"/>
              <w:left w:val="single" w:color="auto" w:sz="2" w:space="0"/>
              <w:bottom w:val="single" w:color="auto" w:sz="2" w:space="0"/>
              <w:right w:val="single" w:color="auto" w:sz="2" w:space="0"/>
            </w:tcBorders>
            <w:vAlign w:val="center"/>
          </w:tcPr>
          <w:p w14:paraId="51764F7E">
            <w:pPr>
              <w:rPr>
                <w:lang w:val="zh-CN"/>
              </w:rPr>
            </w:pPr>
            <w:r>
              <w:rPr>
                <w:lang w:val="zh-CN"/>
              </w:rPr>
              <w:t>Banking Company</w:t>
            </w:r>
          </w:p>
        </w:tc>
        <w:tc>
          <w:tcPr>
            <w:tcW w:w="3465" w:type="dxa"/>
            <w:tcBorders>
              <w:top w:val="single" w:color="auto" w:sz="2" w:space="0"/>
              <w:left w:val="single" w:color="auto" w:sz="2" w:space="0"/>
              <w:bottom w:val="single" w:color="auto" w:sz="2" w:space="0"/>
              <w:right w:val="single" w:color="auto" w:sz="2" w:space="0"/>
            </w:tcBorders>
            <w:vAlign w:val="center"/>
          </w:tcPr>
          <w:p w14:paraId="42D46E50">
            <w:pPr>
              <w:rPr>
                <w:lang w:val="zh-CN"/>
              </w:rPr>
            </w:pPr>
            <w:r>
              <w:rPr>
                <w:lang w:val="zh-CN"/>
              </w:rPr>
              <w:t>4%</w:t>
            </w:r>
          </w:p>
        </w:tc>
      </w:tr>
      <w:tr w14:paraId="275EB3B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0352A796">
            <w:pPr>
              <w:rPr>
                <w:lang w:val="zh-CN"/>
              </w:rPr>
            </w:pPr>
            <w:r>
              <w:rPr>
                <w:lang w:val="zh-CN"/>
              </w:rPr>
              <w:t>2</w:t>
            </w:r>
          </w:p>
        </w:tc>
        <w:tc>
          <w:tcPr>
            <w:tcW w:w="4500" w:type="dxa"/>
            <w:tcBorders>
              <w:top w:val="single" w:color="auto" w:sz="2" w:space="0"/>
              <w:left w:val="single" w:color="auto" w:sz="2" w:space="0"/>
              <w:bottom w:val="single" w:color="auto" w:sz="2" w:space="0"/>
              <w:right w:val="single" w:color="auto" w:sz="2" w:space="0"/>
            </w:tcBorders>
            <w:vAlign w:val="center"/>
          </w:tcPr>
          <w:p w14:paraId="14F3CBDC">
            <w:pPr>
              <w:rPr>
                <w:lang w:val="zh-CN"/>
              </w:rPr>
            </w:pPr>
            <w:r>
              <w:rPr>
                <w:lang w:val="zh-CN"/>
              </w:rPr>
              <w:t>Persons other than BC where income exceeds 500 M</w:t>
            </w:r>
          </w:p>
        </w:tc>
        <w:tc>
          <w:tcPr>
            <w:tcW w:w="3465" w:type="dxa"/>
            <w:tcBorders>
              <w:top w:val="single" w:color="auto" w:sz="2" w:space="0"/>
              <w:left w:val="single" w:color="auto" w:sz="2" w:space="0"/>
              <w:bottom w:val="single" w:color="auto" w:sz="2" w:space="0"/>
              <w:right w:val="single" w:color="auto" w:sz="2" w:space="0"/>
            </w:tcBorders>
            <w:vAlign w:val="center"/>
          </w:tcPr>
          <w:p w14:paraId="67E06A66">
            <w:pPr>
              <w:rPr>
                <w:lang w:val="zh-CN"/>
              </w:rPr>
            </w:pPr>
            <w:r>
              <w:rPr>
                <w:lang w:val="zh-CN"/>
              </w:rPr>
              <w:t>2%</w:t>
            </w:r>
          </w:p>
        </w:tc>
      </w:tr>
      <w:tr w14:paraId="007A839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7721DD41">
            <w:pPr>
              <w:rPr>
                <w:lang w:val="zh-CN"/>
              </w:rPr>
            </w:pPr>
            <w:r>
              <w:rPr>
                <w:lang w:val="zh-CN"/>
              </w:rPr>
              <w:t>3</w:t>
            </w:r>
          </w:p>
        </w:tc>
        <w:tc>
          <w:tcPr>
            <w:tcW w:w="4500" w:type="dxa"/>
            <w:tcBorders>
              <w:top w:val="single" w:color="auto" w:sz="2" w:space="0"/>
              <w:left w:val="single" w:color="auto" w:sz="2" w:space="0"/>
              <w:bottom w:val="single" w:color="auto" w:sz="2" w:space="0"/>
              <w:right w:val="single" w:color="auto" w:sz="2" w:space="0"/>
            </w:tcBorders>
            <w:vAlign w:val="center"/>
          </w:tcPr>
          <w:p w14:paraId="6931FC06">
            <w:pPr>
              <w:rPr>
                <w:lang w:val="zh-CN"/>
              </w:rPr>
            </w:pPr>
            <w:r>
              <w:rPr>
                <w:lang w:val="zh-CN"/>
              </w:rPr>
              <w:t>Tax on undistributed profits ( for public companies if distribution lt; 20% ) charged on a/c profit</w:t>
            </w:r>
          </w:p>
        </w:tc>
        <w:tc>
          <w:tcPr>
            <w:tcW w:w="3465" w:type="dxa"/>
            <w:tcBorders>
              <w:top w:val="single" w:color="auto" w:sz="2" w:space="0"/>
              <w:left w:val="single" w:color="auto" w:sz="2" w:space="0"/>
              <w:bottom w:val="single" w:color="auto" w:sz="2" w:space="0"/>
              <w:right w:val="single" w:color="auto" w:sz="2" w:space="0"/>
            </w:tcBorders>
            <w:vAlign w:val="center"/>
          </w:tcPr>
          <w:p w14:paraId="3D9E644C">
            <w:pPr>
              <w:rPr>
                <w:lang w:val="zh-CN"/>
              </w:rPr>
            </w:pPr>
            <w:r>
              <w:rPr>
                <w:lang w:val="zh-CN"/>
              </w:rPr>
              <w:t>5%</w:t>
            </w:r>
          </w:p>
        </w:tc>
      </w:tr>
    </w:tbl>
    <w:p w14:paraId="7716F25F">
      <w:pPr>
        <w:rPr>
          <w:lang w:val="zh-CN"/>
        </w:rPr>
      </w:pPr>
      <w:r>
        <w:rPr>
          <w:b/>
          <w:bCs/>
          <w:lang w:val="zh-CN"/>
        </w:rPr>
        <w:t>TAX ON SALE - SPECIFIED SECTOR</w:t>
      </w:r>
    </w:p>
    <w:tbl>
      <w:tblPr>
        <w:tblStyle w:val="12"/>
        <w:tblW w:w="975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2" w:type="dxa"/>
          <w:left w:w="12" w:type="dxa"/>
          <w:bottom w:w="12" w:type="dxa"/>
          <w:right w:w="12" w:type="dxa"/>
        </w:tblCellMar>
      </w:tblPr>
      <w:tblGrid>
        <w:gridCol w:w="266"/>
        <w:gridCol w:w="3798"/>
        <w:gridCol w:w="2842"/>
        <w:gridCol w:w="2844"/>
      </w:tblGrid>
      <w:tr w14:paraId="654469F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2"/>
            <w:tcBorders>
              <w:top w:val="single" w:color="auto" w:sz="2" w:space="0"/>
              <w:left w:val="single" w:color="auto" w:sz="2" w:space="0"/>
              <w:bottom w:val="single" w:color="auto" w:sz="2" w:space="0"/>
              <w:right w:val="single" w:color="auto" w:sz="2" w:space="0"/>
            </w:tcBorders>
            <w:vAlign w:val="center"/>
          </w:tcPr>
          <w:p w14:paraId="465D2165">
            <w:pPr>
              <w:rPr>
                <w:lang w:val="zh-CN"/>
              </w:rPr>
            </w:pPr>
            <w:r>
              <w:rPr>
                <w:b/>
                <w:bCs/>
                <w:lang w:val="zh-CN"/>
              </w:rPr>
              <w:t>Tax on Sale - Specified Sector</w:t>
            </w:r>
          </w:p>
        </w:tc>
        <w:tc>
          <w:tcPr>
            <w:tcW w:w="1500" w:type="dxa"/>
            <w:tcBorders>
              <w:top w:val="single" w:color="auto" w:sz="2" w:space="0"/>
              <w:left w:val="single" w:color="auto" w:sz="2" w:space="0"/>
              <w:bottom w:val="single" w:color="auto" w:sz="2" w:space="0"/>
              <w:right w:val="single" w:color="auto" w:sz="2" w:space="0"/>
            </w:tcBorders>
            <w:vAlign w:val="center"/>
          </w:tcPr>
          <w:p w14:paraId="7DD700DF">
            <w:pPr>
              <w:rPr>
                <w:lang w:val="zh-CN"/>
              </w:rPr>
            </w:pPr>
            <w:r>
              <w:rPr>
                <w:b/>
                <w:bCs/>
                <w:lang w:val="zh-CN"/>
              </w:rPr>
              <w:t>Filer</w:t>
            </w:r>
          </w:p>
        </w:tc>
        <w:tc>
          <w:tcPr>
            <w:tcW w:w="1500" w:type="dxa"/>
            <w:tcBorders>
              <w:top w:val="single" w:color="auto" w:sz="2" w:space="0"/>
              <w:left w:val="single" w:color="auto" w:sz="2" w:space="0"/>
              <w:bottom w:val="single" w:color="auto" w:sz="2" w:space="0"/>
              <w:right w:val="single" w:color="auto" w:sz="2" w:space="0"/>
            </w:tcBorders>
            <w:vAlign w:val="center"/>
          </w:tcPr>
          <w:p w14:paraId="3C495B68">
            <w:pPr>
              <w:rPr>
                <w:lang w:val="zh-CN"/>
              </w:rPr>
            </w:pPr>
            <w:r>
              <w:rPr>
                <w:b/>
                <w:bCs/>
                <w:lang w:val="zh-CN"/>
              </w:rPr>
              <w:t>Non-Filer</w:t>
            </w:r>
          </w:p>
        </w:tc>
      </w:tr>
      <w:tr w14:paraId="4B93D00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0CA10F22">
            <w:pPr>
              <w:rPr>
                <w:lang w:val="zh-CN"/>
              </w:rPr>
            </w:pPr>
            <w:r>
              <w:rPr>
                <w:lang w:val="zh-CN"/>
              </w:rPr>
              <w:t>1</w:t>
            </w:r>
          </w:p>
        </w:tc>
        <w:tc>
          <w:tcPr>
            <w:tcW w:w="4500" w:type="dxa"/>
            <w:tcBorders>
              <w:top w:val="single" w:color="auto" w:sz="2" w:space="0"/>
              <w:left w:val="single" w:color="auto" w:sz="2" w:space="0"/>
              <w:bottom w:val="single" w:color="auto" w:sz="2" w:space="0"/>
              <w:right w:val="single" w:color="auto" w:sz="2" w:space="0"/>
            </w:tcBorders>
            <w:vAlign w:val="center"/>
          </w:tcPr>
          <w:p w14:paraId="19CE30E5">
            <w:pPr>
              <w:rPr>
                <w:lang w:val="zh-CN"/>
              </w:rPr>
            </w:pPr>
            <w:r>
              <w:rPr>
                <w:lang w:val="zh-CN"/>
              </w:rPr>
              <w:t>Sale to Distrbutors, Dealers and wholesalers</w:t>
            </w:r>
          </w:p>
        </w:tc>
        <w:tc>
          <w:tcPr>
            <w:tcW w:w="3465" w:type="dxa"/>
            <w:tcBorders>
              <w:top w:val="single" w:color="auto" w:sz="2" w:space="0"/>
              <w:left w:val="single" w:color="auto" w:sz="2" w:space="0"/>
              <w:bottom w:val="single" w:color="auto" w:sz="2" w:space="0"/>
              <w:right w:val="single" w:color="auto" w:sz="2" w:space="0"/>
            </w:tcBorders>
            <w:vAlign w:val="center"/>
          </w:tcPr>
          <w:p w14:paraId="163674BF">
            <w:pPr>
              <w:rPr>
                <w:lang w:val="zh-CN"/>
              </w:rPr>
            </w:pPr>
            <w:r>
              <w:rPr>
                <w:lang w:val="zh-CN"/>
              </w:rPr>
              <w:t>0.1%</w:t>
            </w:r>
          </w:p>
        </w:tc>
        <w:tc>
          <w:tcPr>
            <w:tcW w:w="3465" w:type="dxa"/>
            <w:tcBorders>
              <w:top w:val="single" w:color="auto" w:sz="2" w:space="0"/>
              <w:left w:val="single" w:color="auto" w:sz="2" w:space="0"/>
              <w:bottom w:val="single" w:color="auto" w:sz="2" w:space="0"/>
              <w:right w:val="single" w:color="auto" w:sz="2" w:space="0"/>
            </w:tcBorders>
            <w:vAlign w:val="center"/>
          </w:tcPr>
          <w:p w14:paraId="422975AA">
            <w:pPr>
              <w:rPr>
                <w:lang w:val="zh-CN"/>
              </w:rPr>
            </w:pPr>
            <w:r>
              <w:rPr>
                <w:lang w:val="zh-CN"/>
              </w:rPr>
              <w:t>0.2%</w:t>
            </w:r>
          </w:p>
        </w:tc>
      </w:tr>
      <w:tr w14:paraId="7FB16D8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00A06B26">
            <w:pPr>
              <w:rPr>
                <w:lang w:val="zh-CN"/>
              </w:rPr>
            </w:pPr>
            <w:r>
              <w:rPr>
                <w:lang w:val="zh-CN"/>
              </w:rPr>
              <w:t>2</w:t>
            </w:r>
          </w:p>
        </w:tc>
        <w:tc>
          <w:tcPr>
            <w:tcW w:w="4500" w:type="dxa"/>
            <w:tcBorders>
              <w:top w:val="single" w:color="auto" w:sz="2" w:space="0"/>
              <w:left w:val="single" w:color="auto" w:sz="2" w:space="0"/>
              <w:bottom w:val="single" w:color="auto" w:sz="2" w:space="0"/>
              <w:right w:val="single" w:color="auto" w:sz="2" w:space="0"/>
            </w:tcBorders>
            <w:vAlign w:val="center"/>
          </w:tcPr>
          <w:p w14:paraId="253B32AD">
            <w:pPr>
              <w:rPr>
                <w:lang w:val="zh-CN"/>
              </w:rPr>
            </w:pPr>
            <w:r>
              <w:rPr>
                <w:lang w:val="zh-CN"/>
              </w:rPr>
              <w:t>Tax on sale to Retailers - Electronics</w:t>
            </w:r>
          </w:p>
        </w:tc>
        <w:tc>
          <w:tcPr>
            <w:tcW w:w="3465" w:type="dxa"/>
            <w:tcBorders>
              <w:top w:val="single" w:color="auto" w:sz="2" w:space="0"/>
              <w:left w:val="single" w:color="auto" w:sz="2" w:space="0"/>
              <w:bottom w:val="single" w:color="auto" w:sz="2" w:space="0"/>
              <w:right w:val="single" w:color="auto" w:sz="2" w:space="0"/>
            </w:tcBorders>
            <w:vAlign w:val="center"/>
          </w:tcPr>
          <w:p w14:paraId="6B13CE38">
            <w:pPr>
              <w:rPr>
                <w:lang w:val="zh-CN"/>
              </w:rPr>
            </w:pPr>
            <w:r>
              <w:rPr>
                <w:lang w:val="zh-CN"/>
              </w:rPr>
              <w:t>1%</w:t>
            </w:r>
          </w:p>
        </w:tc>
        <w:tc>
          <w:tcPr>
            <w:tcW w:w="3465" w:type="dxa"/>
            <w:tcBorders>
              <w:top w:val="single" w:color="auto" w:sz="2" w:space="0"/>
              <w:left w:val="single" w:color="auto" w:sz="2" w:space="0"/>
              <w:bottom w:val="single" w:color="auto" w:sz="2" w:space="0"/>
              <w:right w:val="single" w:color="auto" w:sz="2" w:space="0"/>
            </w:tcBorders>
            <w:vAlign w:val="center"/>
          </w:tcPr>
          <w:p w14:paraId="71DB2899">
            <w:pPr>
              <w:rPr>
                <w:lang w:val="zh-CN"/>
              </w:rPr>
            </w:pPr>
            <w:r>
              <w:rPr>
                <w:lang w:val="zh-CN"/>
              </w:rPr>
              <w:t>2%</w:t>
            </w:r>
          </w:p>
        </w:tc>
      </w:tr>
      <w:tr w14:paraId="6CC0040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54C43FFE">
            <w:pPr>
              <w:rPr>
                <w:lang w:val="zh-CN"/>
              </w:rPr>
            </w:pPr>
            <w:r>
              <w:rPr>
                <w:lang w:val="zh-CN"/>
              </w:rPr>
              <w:t>3</w:t>
            </w:r>
          </w:p>
        </w:tc>
        <w:tc>
          <w:tcPr>
            <w:tcW w:w="1725" w:type="dxa"/>
            <w:tcBorders>
              <w:top w:val="single" w:color="auto" w:sz="2" w:space="0"/>
              <w:left w:val="single" w:color="auto" w:sz="2" w:space="0"/>
              <w:bottom w:val="single" w:color="auto" w:sz="2" w:space="0"/>
              <w:right w:val="single" w:color="auto" w:sz="2" w:space="0"/>
            </w:tcBorders>
            <w:vAlign w:val="center"/>
          </w:tcPr>
          <w:p w14:paraId="07D7CCAB">
            <w:pPr>
              <w:rPr>
                <w:lang w:val="zh-CN"/>
              </w:rPr>
            </w:pPr>
            <w:r>
              <w:rPr>
                <w:lang w:val="zh-CN"/>
              </w:rPr>
              <w:t>Tax on sale to Retailers - Others</w:t>
            </w:r>
            <w:r>
              <w:rPr>
                <w:lang w:val="zh-CN"/>
              </w:rPr>
              <w:br w:type="textWrapping"/>
            </w:r>
            <w:r>
              <w:rPr>
                <w:lang w:val="zh-CN"/>
              </w:rPr>
              <w:t>(Electronics, sugar, cement, iron, steel products)</w:t>
            </w:r>
          </w:p>
        </w:tc>
        <w:tc>
          <w:tcPr>
            <w:tcW w:w="3465" w:type="dxa"/>
            <w:tcBorders>
              <w:top w:val="single" w:color="auto" w:sz="2" w:space="0"/>
              <w:left w:val="single" w:color="auto" w:sz="2" w:space="0"/>
              <w:bottom w:val="single" w:color="auto" w:sz="2" w:space="0"/>
              <w:right w:val="single" w:color="auto" w:sz="2" w:space="0"/>
            </w:tcBorders>
            <w:vAlign w:val="center"/>
          </w:tcPr>
          <w:p w14:paraId="7CD363FB">
            <w:pPr>
              <w:rPr>
                <w:lang w:val="zh-CN"/>
              </w:rPr>
            </w:pPr>
            <w:r>
              <w:rPr>
                <w:lang w:val="zh-CN"/>
              </w:rPr>
              <w:t>0.5%</w:t>
            </w:r>
          </w:p>
        </w:tc>
        <w:tc>
          <w:tcPr>
            <w:tcW w:w="3465" w:type="dxa"/>
            <w:tcBorders>
              <w:top w:val="single" w:color="auto" w:sz="2" w:space="0"/>
              <w:left w:val="single" w:color="auto" w:sz="2" w:space="0"/>
              <w:bottom w:val="single" w:color="auto" w:sz="2" w:space="0"/>
              <w:right w:val="single" w:color="auto" w:sz="2" w:space="0"/>
            </w:tcBorders>
            <w:vAlign w:val="center"/>
          </w:tcPr>
          <w:p w14:paraId="54AF864C">
            <w:pPr>
              <w:rPr>
                <w:lang w:val="zh-CN"/>
              </w:rPr>
            </w:pPr>
            <w:r>
              <w:rPr>
                <w:lang w:val="zh-CN"/>
              </w:rPr>
              <w:t>1%</w:t>
            </w:r>
          </w:p>
        </w:tc>
      </w:tr>
    </w:tbl>
    <w:p w14:paraId="1D674208">
      <w:pPr>
        <w:rPr>
          <w:lang w:val="zh-CN"/>
        </w:rPr>
      </w:pPr>
      <w:r>
        <w:rPr>
          <w:b/>
          <w:bCs/>
          <w:lang w:val="zh-CN"/>
        </w:rPr>
        <w:t>GAIN ON IMMOVABLE PROPERTY</w:t>
      </w:r>
    </w:p>
    <w:tbl>
      <w:tblPr>
        <w:tblStyle w:val="12"/>
        <w:tblW w:w="975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2" w:type="dxa"/>
          <w:left w:w="12" w:type="dxa"/>
          <w:bottom w:w="12" w:type="dxa"/>
          <w:right w:w="12" w:type="dxa"/>
        </w:tblCellMar>
      </w:tblPr>
      <w:tblGrid>
        <w:gridCol w:w="353"/>
        <w:gridCol w:w="5309"/>
        <w:gridCol w:w="4088"/>
      </w:tblGrid>
      <w:tr w14:paraId="13742F1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3"/>
            <w:tcBorders>
              <w:top w:val="single" w:color="auto" w:sz="2" w:space="0"/>
              <w:left w:val="single" w:color="auto" w:sz="2" w:space="0"/>
              <w:bottom w:val="single" w:color="auto" w:sz="2" w:space="0"/>
              <w:right w:val="single" w:color="auto" w:sz="2" w:space="0"/>
            </w:tcBorders>
            <w:vAlign w:val="center"/>
          </w:tcPr>
          <w:p w14:paraId="1D5CFD75">
            <w:pPr>
              <w:rPr>
                <w:lang w:val="zh-CN"/>
              </w:rPr>
            </w:pPr>
            <w:r>
              <w:rPr>
                <w:b/>
                <w:bCs/>
                <w:lang w:val="zh-CN"/>
              </w:rPr>
              <w:t>Constructed Properties</w:t>
            </w:r>
          </w:p>
        </w:tc>
      </w:tr>
      <w:tr w14:paraId="60B90F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6B3F9165">
            <w:pPr>
              <w:rPr>
                <w:lang w:val="zh-CN"/>
              </w:rPr>
            </w:pPr>
            <w:r>
              <w:rPr>
                <w:lang w:val="zh-CN"/>
              </w:rPr>
              <w:t>1</w:t>
            </w:r>
          </w:p>
        </w:tc>
        <w:tc>
          <w:tcPr>
            <w:tcW w:w="4500" w:type="dxa"/>
            <w:tcBorders>
              <w:top w:val="single" w:color="auto" w:sz="2" w:space="0"/>
              <w:left w:val="single" w:color="auto" w:sz="2" w:space="0"/>
              <w:bottom w:val="single" w:color="auto" w:sz="2" w:space="0"/>
              <w:right w:val="single" w:color="auto" w:sz="2" w:space="0"/>
            </w:tcBorders>
            <w:vAlign w:val="center"/>
          </w:tcPr>
          <w:p w14:paraId="00B9BC31">
            <w:pPr>
              <w:rPr>
                <w:lang w:val="zh-CN"/>
              </w:rPr>
            </w:pPr>
            <w:r>
              <w:rPr>
                <w:lang w:val="zh-CN"/>
              </w:rPr>
              <w:t>Sold within 1 year</w:t>
            </w:r>
          </w:p>
        </w:tc>
        <w:tc>
          <w:tcPr>
            <w:tcW w:w="3465" w:type="dxa"/>
            <w:tcBorders>
              <w:top w:val="single" w:color="auto" w:sz="2" w:space="0"/>
              <w:left w:val="single" w:color="auto" w:sz="2" w:space="0"/>
              <w:bottom w:val="single" w:color="auto" w:sz="2" w:space="0"/>
              <w:right w:val="single" w:color="auto" w:sz="2" w:space="0"/>
            </w:tcBorders>
            <w:vAlign w:val="center"/>
          </w:tcPr>
          <w:p w14:paraId="707557E0">
            <w:pPr>
              <w:rPr>
                <w:lang w:val="zh-CN"/>
              </w:rPr>
            </w:pPr>
            <w:r>
              <w:rPr>
                <w:lang w:val="zh-CN"/>
              </w:rPr>
              <w:t>100%</w:t>
            </w:r>
          </w:p>
        </w:tc>
      </w:tr>
      <w:tr w14:paraId="3E723C3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3691D949">
            <w:pPr>
              <w:rPr>
                <w:lang w:val="zh-CN"/>
              </w:rPr>
            </w:pPr>
            <w:r>
              <w:rPr>
                <w:lang w:val="zh-CN"/>
              </w:rPr>
              <w:t>2</w:t>
            </w:r>
          </w:p>
        </w:tc>
        <w:tc>
          <w:tcPr>
            <w:tcW w:w="4500" w:type="dxa"/>
            <w:tcBorders>
              <w:top w:val="single" w:color="auto" w:sz="2" w:space="0"/>
              <w:left w:val="single" w:color="auto" w:sz="2" w:space="0"/>
              <w:bottom w:val="single" w:color="auto" w:sz="2" w:space="0"/>
              <w:right w:val="single" w:color="auto" w:sz="2" w:space="0"/>
            </w:tcBorders>
            <w:vAlign w:val="center"/>
          </w:tcPr>
          <w:p w14:paraId="144995B2">
            <w:pPr>
              <w:rPr>
                <w:lang w:val="zh-CN"/>
              </w:rPr>
            </w:pPr>
            <w:r>
              <w:rPr>
                <w:lang w:val="zh-CN"/>
              </w:rPr>
              <w:t>Sold after 1 year but not exceeding 4 years of purchase</w:t>
            </w:r>
          </w:p>
        </w:tc>
        <w:tc>
          <w:tcPr>
            <w:tcW w:w="3465" w:type="dxa"/>
            <w:tcBorders>
              <w:top w:val="single" w:color="auto" w:sz="2" w:space="0"/>
              <w:left w:val="single" w:color="auto" w:sz="2" w:space="0"/>
              <w:bottom w:val="single" w:color="auto" w:sz="2" w:space="0"/>
              <w:right w:val="single" w:color="auto" w:sz="2" w:space="0"/>
            </w:tcBorders>
            <w:vAlign w:val="center"/>
          </w:tcPr>
          <w:p w14:paraId="66008EC6">
            <w:pPr>
              <w:rPr>
                <w:lang w:val="zh-CN"/>
              </w:rPr>
            </w:pPr>
            <w:r>
              <w:rPr>
                <w:lang w:val="zh-CN"/>
              </w:rPr>
              <w:t>75%</w:t>
            </w:r>
          </w:p>
        </w:tc>
      </w:tr>
      <w:tr w14:paraId="0DD5844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3F7CCE3E">
            <w:pPr>
              <w:rPr>
                <w:lang w:val="zh-CN"/>
              </w:rPr>
            </w:pPr>
          </w:p>
        </w:tc>
        <w:tc>
          <w:tcPr>
            <w:tcW w:w="4500" w:type="dxa"/>
            <w:tcBorders>
              <w:top w:val="single" w:color="auto" w:sz="2" w:space="0"/>
              <w:left w:val="single" w:color="auto" w:sz="2" w:space="0"/>
              <w:bottom w:val="single" w:color="auto" w:sz="2" w:space="0"/>
              <w:right w:val="single" w:color="auto" w:sz="2" w:space="0"/>
            </w:tcBorders>
            <w:vAlign w:val="center"/>
          </w:tcPr>
          <w:p w14:paraId="3200E635">
            <w:pPr>
              <w:rPr>
                <w:lang w:val="zh-CN"/>
              </w:rPr>
            </w:pPr>
            <w:r>
              <w:rPr>
                <w:lang w:val="zh-CN"/>
              </w:rPr>
              <w:t>Sold after 4 years of purchase</w:t>
            </w:r>
          </w:p>
        </w:tc>
        <w:tc>
          <w:tcPr>
            <w:tcW w:w="3465" w:type="dxa"/>
            <w:tcBorders>
              <w:top w:val="single" w:color="auto" w:sz="2" w:space="0"/>
              <w:left w:val="single" w:color="auto" w:sz="2" w:space="0"/>
              <w:bottom w:val="single" w:color="auto" w:sz="2" w:space="0"/>
              <w:right w:val="single" w:color="auto" w:sz="2" w:space="0"/>
            </w:tcBorders>
            <w:vAlign w:val="center"/>
          </w:tcPr>
          <w:p w14:paraId="678C563E">
            <w:pPr>
              <w:rPr>
                <w:lang w:val="zh-CN"/>
              </w:rPr>
            </w:pPr>
            <w:r>
              <w:rPr>
                <w:lang w:val="zh-CN"/>
              </w:rPr>
              <w:t>0%</w:t>
            </w:r>
          </w:p>
        </w:tc>
      </w:tr>
      <w:tr w14:paraId="12F9D1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gridSpan w:val="3"/>
            <w:tcBorders>
              <w:top w:val="single" w:color="auto" w:sz="2" w:space="0"/>
              <w:left w:val="single" w:color="auto" w:sz="2" w:space="0"/>
              <w:bottom w:val="single" w:color="auto" w:sz="2" w:space="0"/>
              <w:right w:val="single" w:color="auto" w:sz="2" w:space="0"/>
            </w:tcBorders>
            <w:vAlign w:val="center"/>
          </w:tcPr>
          <w:p w14:paraId="534180DF">
            <w:pPr>
              <w:rPr>
                <w:lang w:val="zh-CN"/>
              </w:rPr>
            </w:pPr>
            <w:r>
              <w:rPr>
                <w:b/>
                <w:bCs/>
                <w:lang w:val="zh-CN"/>
              </w:rPr>
              <w:t>Open Plots</w:t>
            </w:r>
          </w:p>
        </w:tc>
      </w:tr>
      <w:tr w14:paraId="679E394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14E1BB46">
            <w:pPr>
              <w:rPr>
                <w:lang w:val="zh-CN"/>
              </w:rPr>
            </w:pPr>
            <w:r>
              <w:rPr>
                <w:lang w:val="zh-CN"/>
              </w:rPr>
              <w:t>1</w:t>
            </w:r>
          </w:p>
        </w:tc>
        <w:tc>
          <w:tcPr>
            <w:tcW w:w="4500" w:type="dxa"/>
            <w:tcBorders>
              <w:top w:val="single" w:color="auto" w:sz="2" w:space="0"/>
              <w:left w:val="single" w:color="auto" w:sz="2" w:space="0"/>
              <w:bottom w:val="single" w:color="auto" w:sz="2" w:space="0"/>
              <w:right w:val="single" w:color="auto" w:sz="2" w:space="0"/>
            </w:tcBorders>
            <w:vAlign w:val="center"/>
          </w:tcPr>
          <w:p w14:paraId="32DA21C8">
            <w:pPr>
              <w:rPr>
                <w:lang w:val="zh-CN"/>
              </w:rPr>
            </w:pPr>
            <w:r>
              <w:rPr>
                <w:lang w:val="zh-CN"/>
              </w:rPr>
              <w:t>Sold within 1 year</w:t>
            </w:r>
          </w:p>
        </w:tc>
        <w:tc>
          <w:tcPr>
            <w:tcW w:w="3465" w:type="dxa"/>
            <w:tcBorders>
              <w:top w:val="single" w:color="auto" w:sz="2" w:space="0"/>
              <w:left w:val="single" w:color="auto" w:sz="2" w:space="0"/>
              <w:bottom w:val="single" w:color="auto" w:sz="2" w:space="0"/>
              <w:right w:val="single" w:color="auto" w:sz="2" w:space="0"/>
            </w:tcBorders>
            <w:vAlign w:val="center"/>
          </w:tcPr>
          <w:p w14:paraId="754EB5B8">
            <w:pPr>
              <w:rPr>
                <w:lang w:val="zh-CN"/>
              </w:rPr>
            </w:pPr>
            <w:r>
              <w:rPr>
                <w:lang w:val="zh-CN"/>
              </w:rPr>
              <w:t>100% taxable</w:t>
            </w:r>
          </w:p>
        </w:tc>
      </w:tr>
      <w:tr w14:paraId="5C340A2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2" w:type="dxa"/>
            <w:left w:w="12" w:type="dxa"/>
            <w:bottom w:w="12" w:type="dxa"/>
            <w:right w:w="12" w:type="dxa"/>
          </w:tblCellMar>
        </w:tblPrEx>
        <w:trPr>
          <w:trHeight w:val="300" w:hRule="atLeast"/>
          <w:jc w:val="center"/>
        </w:trPr>
        <w:tc>
          <w:tcPr>
            <w:tcW w:w="300" w:type="dxa"/>
            <w:tcBorders>
              <w:top w:val="single" w:color="auto" w:sz="2" w:space="0"/>
              <w:left w:val="single" w:color="auto" w:sz="2" w:space="0"/>
              <w:bottom w:val="single" w:color="auto" w:sz="2" w:space="0"/>
              <w:right w:val="single" w:color="auto" w:sz="2" w:space="0"/>
            </w:tcBorders>
            <w:vAlign w:val="center"/>
          </w:tcPr>
          <w:p w14:paraId="3C08F05A">
            <w:pPr>
              <w:rPr>
                <w:lang w:val="zh-CN"/>
              </w:rPr>
            </w:pPr>
            <w:r>
              <w:rPr>
                <w:lang w:val="zh-CN"/>
              </w:rPr>
              <w:t>2</w:t>
            </w:r>
          </w:p>
        </w:tc>
        <w:tc>
          <w:tcPr>
            <w:tcW w:w="4500" w:type="dxa"/>
            <w:tcBorders>
              <w:top w:val="single" w:color="auto" w:sz="2" w:space="0"/>
              <w:left w:val="single" w:color="auto" w:sz="2" w:space="0"/>
              <w:bottom w:val="single" w:color="auto" w:sz="2" w:space="0"/>
              <w:right w:val="single" w:color="auto" w:sz="2" w:space="0"/>
            </w:tcBorders>
            <w:vAlign w:val="center"/>
          </w:tcPr>
          <w:p w14:paraId="3DF97B12">
            <w:pPr>
              <w:rPr>
                <w:lang w:val="zh-CN"/>
              </w:rPr>
            </w:pPr>
            <w:r>
              <w:rPr>
                <w:lang w:val="zh-CN"/>
              </w:rPr>
              <w:t>Sold after 1 years of purchase but not exceeding 8 years of purchse&lt;</w:t>
            </w:r>
          </w:p>
        </w:tc>
        <w:tc>
          <w:tcPr>
            <w:tcW w:w="0" w:type="auto"/>
            <w:vAlign w:val="center"/>
          </w:tcPr>
          <w:p w14:paraId="26F33B3B">
            <w:pPr>
              <w:rPr>
                <w:lang w:val="zh-CN"/>
              </w:rPr>
            </w:pPr>
          </w:p>
        </w:tc>
      </w:tr>
    </w:tbl>
    <w:p w14:paraId="64027A6F"/>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Liberation Mono"/>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C72"/>
    <w:rsid w:val="00143C72"/>
    <w:rsid w:val="004507BA"/>
    <w:rsid w:val="00463316"/>
    <w:rsid w:val="007308B3"/>
    <w:rsid w:val="00736F8F"/>
    <w:rsid w:val="00AA1549"/>
    <w:rsid w:val="56D31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6">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7">
    <w:name w:val="Heading 3 Char"/>
    <w:basedOn w:val="11"/>
    <w:link w:val="4"/>
    <w:semiHidden/>
    <w:uiPriority w:val="9"/>
    <w:rPr>
      <w:rFonts w:eastAsiaTheme="majorEastAsia" w:cstheme="majorBidi"/>
      <w:color w:val="2F5597" w:themeColor="accent1" w:themeShade="BF"/>
      <w:sz w:val="28"/>
      <w:szCs w:val="28"/>
    </w:rPr>
  </w:style>
  <w:style w:type="character" w:customStyle="1" w:styleId="18">
    <w:name w:val="Heading 4 Char"/>
    <w:basedOn w:val="11"/>
    <w:link w:val="5"/>
    <w:semiHidden/>
    <w:uiPriority w:val="9"/>
    <w:rPr>
      <w:rFonts w:eastAsiaTheme="majorEastAsia" w:cstheme="majorBidi"/>
      <w:i/>
      <w:iCs/>
      <w:color w:val="2F5597" w:themeColor="accent1" w:themeShade="BF"/>
    </w:rPr>
  </w:style>
  <w:style w:type="character" w:customStyle="1" w:styleId="19">
    <w:name w:val="Heading 5 Char"/>
    <w:basedOn w:val="11"/>
    <w:link w:val="6"/>
    <w:semiHidden/>
    <w:uiPriority w:val="9"/>
    <w:rPr>
      <w:rFonts w:eastAsiaTheme="majorEastAsia" w:cstheme="majorBidi"/>
      <w:color w:val="2F5597" w:themeColor="accent1" w:themeShade="BF"/>
    </w:rPr>
  </w:style>
  <w:style w:type="character" w:customStyle="1" w:styleId="20">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Intense Quote Char"/>
    <w:basedOn w:val="11"/>
    <w:link w:val="30"/>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8</Pages>
  <Words>773</Words>
  <Characters>4237</Characters>
  <Lines>103</Lines>
  <Paragraphs>29</Paragraphs>
  <TotalTime>0</TotalTime>
  <ScaleCrop>false</ScaleCrop>
  <LinksUpToDate>false</LinksUpToDate>
  <CharactersWithSpaces>4929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2026-06-20T08:07:00Z</dcterms:created>
  <dc:creator>mosa bahe</dc:creator>
  <cp:lastModifiedBy>hi</cp:lastModifiedBy>
  <dcterms:modified xsi:type="dcterms:W3CDTF">2026-06-20T08:34:03Z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DDDC42D07A0D4AE3BA82F807786BF3A2_13</vt:lpwstr>
  </property>
</Properties>
</file>